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a5276"/>
          <w:sz w:val="52"/>
          <w:szCs w:val="52"/>
        </w:rPr>
        <w:t xml:space="preserve">SOLIDWORKS MODELING GUIDE</w:t>
      </w:r>
    </w:p>
    <w:p>
      <w:pPr>
        <w:spacing w:after="400" w:before="200"/>
        <w:jc w:val="center"/>
      </w:pPr>
      <w:r>
        <w:rPr>
          <w:b/>
          <w:bCs/>
          <w:sz w:val="32"/>
          <w:szCs w:val="32"/>
        </w:rPr>
        <w:t xml:space="preserve">Movable Pintle Injector with Spiral + Vane Manifold</w:t>
      </w:r>
    </w:p>
    <w:p>
      <w:pPr>
        <w:spacing w:after="80"/>
        <w:jc w:val="center"/>
      </w:pPr>
      <w:r>
        <w:rPr>
          <w:i/>
          <w:iCs/>
          <w:sz w:val="24"/>
          <w:szCs w:val="24"/>
        </w:rPr>
        <w:t xml:space="preserve">Part-by-part construction using advanced SolidWorks features,</w:t>
      </w:r>
    </w:p>
    <w:p>
      <w:pPr>
        <w:spacing w:after="600"/>
        <w:jc w:val="center"/>
      </w:pPr>
      <w:r>
        <w:rPr>
          <w:i/>
          <w:iCs/>
          <w:sz w:val="24"/>
          <w:szCs w:val="24"/>
        </w:rPr>
        <w:t xml:space="preserve">paired with the separate 2D Reference Drawing Pack (8 sheets)</w:t>
      </w:r>
    </w:p>
    <w:p>
      <w:pPr>
        <w:spacing w:before="8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6e4f0" w:val="clear"/>
            <w:tcMar>
              <w:top w:type="dxa" w:w="60"/>
              <w:left w:type="dxa" w:w="100"/>
              <w:bottom w:type="dxa" w:w="60"/>
              <w:right w:type="dxa" w:w="100"/>
            </w:tcMar>
          </w:tcPr>
          <w:p>
            <w:pPr>
              <w:jc w:val="left"/>
            </w:pPr>
            <w:r>
              <w:rPr>
                <w:b/>
                <w:bCs/>
              </w:rPr>
              <w:t xml:space="preserve">Design point</w:t>
            </w:r>
          </w:p>
        </w:tc>
        <w:tc>
          <w:tcPr>
            <w:tcW w:type="dxa" w:w="6400"/>
            <w:shd w:fill="d6e4f0" w:val="clear"/>
            <w:tcMar>
              <w:top w:type="dxa" w:w="60"/>
              <w:left w:type="dxa" w:w="100"/>
              <w:bottom w:type="dxa" w:w="60"/>
              <w:right w:type="dxa" w:w="100"/>
            </w:tcMar>
          </w:tcPr>
          <w:p>
            <w:pPr>
              <w:jc w:val="left"/>
            </w:pPr>
            <w:r>
              <w:rPr>
                <w:b/>
                <w:bCs/>
              </w:rPr>
              <w:t xml:space="preserve">LOX/LCH4, O/F = 3.2, Pc = 20 bar, Thrust = 750 N, Ae/At = 5</w:t>
            </w:r>
          </w:p>
        </w:tc>
      </w:tr>
      <w:tr>
        <w:tc>
          <w:tcPr>
            <w:tcW w:type="dxa" w:w="2600"/>
            <w:tcMar>
              <w:top w:type="dxa" w:w="60"/>
              <w:left w:type="dxa" w:w="100"/>
              <w:bottom w:type="dxa" w:w="60"/>
              <w:right w:type="dxa" w:w="100"/>
            </w:tcMar>
          </w:tcPr>
          <w:p>
            <w:pPr>
              <w:jc w:val="left"/>
            </w:pPr>
            <w:r>
              <w:rPr>
                <w:b w:val="false"/>
                <w:bCs w:val="false"/>
              </w:rPr>
              <w:t xml:space="preserve">Baseline geometry</w:t>
            </w:r>
          </w:p>
        </w:tc>
        <w:tc>
          <w:tcPr>
            <w:tcW w:type="dxa" w:w="6400"/>
            <w:tcMar>
              <w:top w:type="dxa" w:w="60"/>
              <w:left w:type="dxa" w:w="100"/>
              <w:bottom w:type="dxa" w:w="60"/>
              <w:right w:type="dxa" w:w="100"/>
            </w:tcMar>
          </w:tcPr>
          <w:p>
            <w:pPr>
              <w:jc w:val="left"/>
            </w:pPr>
            <w:r>
              <w:rPr>
                <w:b w:val="false"/>
                <w:bCs w:val="false"/>
              </w:rPr>
              <w:t xml:space="preserve">METU Type-1 (Erkal, 2019, Thesis Table 3.1): α=20°, tag=0.5mm, Dt=8mm, tpg=1.5mm, Dp=3mm</w:t>
            </w:r>
          </w:p>
        </w:tc>
      </w:tr>
      <w:tr>
        <w:tc>
          <w:tcPr>
            <w:tcW w:type="dxa" w:w="2600"/>
            <w:tcMar>
              <w:top w:type="dxa" w:w="60"/>
              <w:left w:type="dxa" w:w="100"/>
              <w:bottom w:type="dxa" w:w="60"/>
              <w:right w:type="dxa" w:w="100"/>
            </w:tcMar>
          </w:tcPr>
          <w:p>
            <w:pPr>
              <w:jc w:val="left"/>
            </w:pPr>
            <w:r>
              <w:rPr>
                <w:b w:val="false"/>
                <w:bCs w:val="false"/>
              </w:rPr>
              <w:t xml:space="preserve">Novel element</w:t>
            </w:r>
          </w:p>
        </w:tc>
        <w:tc>
          <w:tcPr>
            <w:tcW w:type="dxa" w:w="6400"/>
            <w:tcMar>
              <w:top w:type="dxa" w:w="60"/>
              <w:left w:type="dxa" w:w="100"/>
              <w:bottom w:type="dxa" w:w="60"/>
              <w:right w:type="dxa" w:w="100"/>
            </w:tcMar>
          </w:tcPr>
          <w:p>
            <w:pPr>
              <w:jc w:val="left"/>
            </w:pPr>
            <w:r>
              <w:rPr>
                <w:b w:val="false"/>
                <w:bCs w:val="false"/>
              </w:rPr>
              <w:t xml:space="preserve">Spiral (volute) fuel manifold with turning vanes vs. conventional single side-inlet</w:t>
            </w:r>
          </w:p>
        </w:tc>
      </w:tr>
      <w:tr>
        <w:tc>
          <w:tcPr>
            <w:tcW w:type="dxa" w:w="2600"/>
            <w:tcMar>
              <w:top w:type="dxa" w:w="60"/>
              <w:left w:type="dxa" w:w="100"/>
              <w:bottom w:type="dxa" w:w="60"/>
              <w:right w:type="dxa" w:w="100"/>
            </w:tcMar>
          </w:tcPr>
          <w:p>
            <w:pPr>
              <w:jc w:val="left"/>
            </w:pPr>
            <w:r>
              <w:rPr>
                <w:b w:val="false"/>
                <w:bCs w:val="false"/>
              </w:rPr>
              <w:t xml:space="preserve">Scope</w:t>
            </w:r>
          </w:p>
        </w:tc>
        <w:tc>
          <w:tcPr>
            <w:tcW w:type="dxa" w:w="6400"/>
            <w:tcMar>
              <w:top w:type="dxa" w:w="60"/>
              <w:left w:type="dxa" w:w="100"/>
              <w:bottom w:type="dxa" w:w="60"/>
              <w:right w:type="dxa" w:w="100"/>
            </w:tcMar>
          </w:tcPr>
          <w:p>
            <w:pPr>
              <w:jc w:val="left"/>
            </w:pPr>
            <w:r>
              <w:rPr>
                <w:b w:val="false"/>
                <w:bCs w:val="false"/>
              </w:rPr>
              <w:t xml:space="preserve">Cold-flow demonstrator / CFD comparison — no hot-fire manufacturing implied by this guide</w:t>
            </w:r>
          </w:p>
        </w:tc>
      </w:tr>
      <w:tr>
        <w:tc>
          <w:tcPr>
            <w:tcW w:type="dxa" w:w="2600"/>
            <w:tcMar>
              <w:top w:type="dxa" w:w="60"/>
              <w:left w:type="dxa" w:w="100"/>
              <w:bottom w:type="dxa" w:w="60"/>
              <w:right w:type="dxa" w:w="100"/>
            </w:tcMar>
          </w:tcPr>
          <w:p>
            <w:pPr>
              <w:jc w:val="left"/>
            </w:pPr>
            <w:r>
              <w:rPr>
                <w:b w:val="false"/>
                <w:bCs w:val="false"/>
              </w:rPr>
              <w:t xml:space="preserve">Companion file</w:t>
            </w:r>
          </w:p>
        </w:tc>
        <w:tc>
          <w:tcPr>
            <w:tcW w:type="dxa" w:w="6400"/>
            <w:tcMar>
              <w:top w:type="dxa" w:w="60"/>
              <w:left w:type="dxa" w:w="100"/>
              <w:bottom w:type="dxa" w:w="60"/>
              <w:right w:type="dxa" w:w="100"/>
            </w:tcMar>
          </w:tcPr>
          <w:p>
            <w:pPr>
              <w:jc w:val="left"/>
            </w:pPr>
            <w:r>
              <w:rPr>
                <w:b w:val="false"/>
                <w:bCs w:val="false"/>
              </w:rPr>
              <w:t xml:space="preserve">pintle_injector_2D_reference_drawings.pdf — 8 dimensioned sheets, one per part</w:t>
            </w:r>
          </w:p>
        </w:tc>
      </w:tr>
    </w:tbl>
    <w:p>
      <w:r>
        <w:br w:type="page"/>
      </w:r>
    </w:p>
    <w:p>
      <w:pPr>
        <w:pStyle w:val="Heading1"/>
        <w:spacing w:after="160" w:before="320"/>
      </w:pPr>
      <w:r>
        <w:t xml:space="preserve">0. How To Use This Guide</w:t>
      </w:r>
    </w:p>
    <w:p>
      <w:pPr>
        <w:spacing w:after="140"/>
      </w:pPr>
      <w:r>
        <w:t xml:space="preserve">This guide walks through building every part of the movable pintle injector assembly in SolidWorks, using the parametric / advanced-feature workflow already scoped in the project notes (equation-driven dimensions, lofts, helix/spiral sweeps, patterns, configurations). It assumes SolidWorks 2021+ with the Premium package for Flow Simulation and Motion Study (both optional but referenced).</w:t>
      </w:r>
    </w:p>
    <w:p>
      <w:pPr>
        <w:spacing w:after="140"/>
      </w:pPr>
      <w:r>
        <w:t xml:space="preserve">Each part section below has a matching numbered sheet in the companion PDF, “pintle_injector_2D_reference_drawings.pdf.” Those sheets are hand-built dimensioned reference sketches — NOT exported SolidWorks drawings — meant to be read side-by-side with this guide while you sketch inside SolidWorks. Cross-section views, leaders, and notes on each sheet call out every dimension you need; this guide tells you which SolidWorks feature to use to realize each one and in what order.</w:t>
      </w:r>
    </w:p>
    <w:p>
      <w:pPr>
        <w:pBdr>
          <w:left w:val="single" w:color="1a5276" w:sz="18" w:space="8"/>
        </w:pBdr>
        <w:shd w:fill="eef2f5" w:val="clear"/>
        <w:spacing w:after="140" w:before="80"/>
        <w:ind w:left="200"/>
      </w:pPr>
      <w:r>
        <w:rPr>
          <w:b/>
          <w:bCs/>
          <w:color w:val="1a5276"/>
        </w:rPr>
        <w:t xml:space="preserve">NOTE — </w:t>
      </w:r>
      <w:r>
        <w:t xml:space="preserve">This is a design/CFD-phase reference, not a certified manufacturing drawing set. Tolerances, thread callouts, seal sizes, and fastener patterns are reasonable placeholders (flagged inline) — verify them against your actual hardware, manufacturing process, and a proper stress/thermal check before cutting flight or hot-fire hardware.</w:t>
      </w:r>
    </w:p>
    <w:p>
      <w:pPr>
        <w:pStyle w:val="Heading2"/>
        <w:spacing w:after="120" w:before="240"/>
      </w:pPr>
      <w:r>
        <w:t xml:space="preserve">0.1 Part 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1600"/>
        <w:gridCol w:w="4600"/>
      </w:tblGrid>
      <w:tr>
        <w:trPr>
          <w:tblHeader/>
        </w:trPr>
        <w:tc>
          <w:tcPr>
            <w:tcW w:type="dxa" w:w="1400"/>
            <w:shd w:fill="d6e4f0" w:val="clear"/>
            <w:tcMar>
              <w:top w:type="dxa" w:w="60"/>
              <w:left w:type="dxa" w:w="100"/>
              <w:bottom w:type="dxa" w:w="60"/>
              <w:right w:type="dxa" w:w="100"/>
            </w:tcMar>
          </w:tcPr>
          <w:p>
            <w:pPr>
              <w:jc w:val="left"/>
            </w:pPr>
            <w:r>
              <w:rPr>
                <w:b/>
                <w:bCs/>
              </w:rPr>
              <w:t xml:space="preserve">Part No.</w:t>
            </w:r>
          </w:p>
        </w:tc>
        <w:tc>
          <w:tcPr>
            <w:tcW w:type="dxa" w:w="3400"/>
            <w:shd w:fill="d6e4f0" w:val="clear"/>
            <w:tcMar>
              <w:top w:type="dxa" w:w="60"/>
              <w:left w:type="dxa" w:w="100"/>
              <w:bottom w:type="dxa" w:w="60"/>
              <w:right w:type="dxa" w:w="100"/>
            </w:tcMar>
          </w:tcPr>
          <w:p>
            <w:pPr>
              <w:jc w:val="left"/>
            </w:pPr>
            <w:r>
              <w:rPr>
                <w:b/>
                <w:bCs/>
              </w:rPr>
              <w:t xml:space="preserve">Part Name</w:t>
            </w:r>
          </w:p>
        </w:tc>
        <w:tc>
          <w:tcPr>
            <w:tcW w:type="dxa" w:w="1600"/>
            <w:shd w:fill="d6e4f0" w:val="clear"/>
            <w:tcMar>
              <w:top w:type="dxa" w:w="60"/>
              <w:left w:type="dxa" w:w="100"/>
              <w:bottom w:type="dxa" w:w="60"/>
              <w:right w:type="dxa" w:w="100"/>
            </w:tcMar>
          </w:tcPr>
          <w:p>
            <w:pPr>
              <w:jc w:val="left"/>
            </w:pPr>
            <w:r>
              <w:rPr>
                <w:b/>
                <w:bCs/>
              </w:rPr>
              <w:t xml:space="preserve">Drawing Sheet</w:t>
            </w:r>
          </w:p>
        </w:tc>
        <w:tc>
          <w:tcPr>
            <w:tcW w:type="dxa" w:w="4600"/>
            <w:shd w:fill="d6e4f0" w:val="clear"/>
            <w:tcMar>
              <w:top w:type="dxa" w:w="60"/>
              <w:left w:type="dxa" w:w="100"/>
              <w:bottom w:type="dxa" w:w="60"/>
              <w:right w:type="dxa" w:w="100"/>
            </w:tcMar>
          </w:tcPr>
          <w:p>
            <w:pPr>
              <w:jc w:val="left"/>
            </w:pPr>
            <w:r>
              <w:rPr>
                <w:b/>
                <w:bCs/>
              </w:rPr>
              <w:t xml:space="preserve">Key Advanced Feature(s)</w:t>
            </w:r>
          </w:p>
        </w:tc>
      </w:tr>
      <w:tr>
        <w:tc>
          <w:tcPr>
            <w:tcW w:type="dxa" w:w="1400"/>
            <w:tcMar>
              <w:top w:type="dxa" w:w="60"/>
              <w:left w:type="dxa" w:w="100"/>
              <w:bottom w:type="dxa" w:w="60"/>
              <w:right w:type="dxa" w:w="100"/>
            </w:tcMar>
          </w:tcPr>
          <w:p>
            <w:pPr>
              <w:jc w:val="left"/>
            </w:pPr>
            <w:r>
              <w:rPr>
                <w:b w:val="false"/>
                <w:bCs w:val="false"/>
              </w:rPr>
              <w:t xml:space="preserve">PI-001</w:t>
            </w:r>
          </w:p>
        </w:tc>
        <w:tc>
          <w:tcPr>
            <w:tcW w:type="dxa" w:w="3400"/>
            <w:tcMar>
              <w:top w:type="dxa" w:w="60"/>
              <w:left w:type="dxa" w:w="100"/>
              <w:bottom w:type="dxa" w:w="60"/>
              <w:right w:type="dxa" w:w="100"/>
            </w:tcMar>
          </w:tcPr>
          <w:p>
            <w:pPr>
              <w:jc w:val="left"/>
            </w:pPr>
            <w:r>
              <w:rPr>
                <w:b w:val="false"/>
                <w:bCs w:val="false"/>
              </w:rPr>
              <w:t xml:space="preserve">Pintle Rod &amp; Tip</w:t>
            </w:r>
          </w:p>
        </w:tc>
        <w:tc>
          <w:tcPr>
            <w:tcW w:type="dxa" w:w="1600"/>
            <w:tcMar>
              <w:top w:type="dxa" w:w="60"/>
              <w:left w:type="dxa" w:w="100"/>
              <w:bottom w:type="dxa" w:w="60"/>
              <w:right w:type="dxa" w:w="100"/>
            </w:tcMar>
          </w:tcPr>
          <w:p>
            <w:pPr>
              <w:jc w:val="left"/>
            </w:pPr>
            <w:r>
              <w:rPr>
                <w:b w:val="false"/>
                <w:bCs w:val="false"/>
              </w:rPr>
              <w:t xml:space="preserve">Sheet 1</w:t>
            </w:r>
          </w:p>
        </w:tc>
        <w:tc>
          <w:tcPr>
            <w:tcW w:type="dxa" w:w="4600"/>
            <w:tcMar>
              <w:top w:type="dxa" w:w="60"/>
              <w:left w:type="dxa" w:w="100"/>
              <w:bottom w:type="dxa" w:w="60"/>
              <w:right w:type="dxa" w:w="100"/>
            </w:tcMar>
          </w:tcPr>
          <w:p>
            <w:pPr>
              <w:jc w:val="left"/>
            </w:pPr>
            <w:r>
              <w:rPr>
                <w:b w:val="false"/>
                <w:bCs w:val="false"/>
              </w:rPr>
              <w:t xml:space="preserve">Revolve, Shell/Cut bore, Circular Pattern (alt. slotted tip), Equations</w:t>
            </w:r>
          </w:p>
        </w:tc>
      </w:tr>
      <w:tr>
        <w:tc>
          <w:tcPr>
            <w:tcW w:type="dxa" w:w="1400"/>
            <w:tcMar>
              <w:top w:type="dxa" w:w="60"/>
              <w:left w:type="dxa" w:w="100"/>
              <w:bottom w:type="dxa" w:w="60"/>
              <w:right w:type="dxa" w:w="100"/>
            </w:tcMar>
          </w:tcPr>
          <w:p>
            <w:pPr>
              <w:jc w:val="left"/>
            </w:pPr>
            <w:r>
              <w:rPr>
                <w:b w:val="false"/>
                <w:bCs w:val="false"/>
              </w:rPr>
              <w:t xml:space="preserve">PI-002</w:t>
            </w:r>
          </w:p>
        </w:tc>
        <w:tc>
          <w:tcPr>
            <w:tcW w:type="dxa" w:w="3400"/>
            <w:tcMar>
              <w:top w:type="dxa" w:w="60"/>
              <w:left w:type="dxa" w:w="100"/>
              <w:bottom w:type="dxa" w:w="60"/>
              <w:right w:type="dxa" w:w="100"/>
            </w:tcMar>
          </w:tcPr>
          <w:p>
            <w:pPr>
              <w:jc w:val="left"/>
            </w:pPr>
            <w:r>
              <w:rPr>
                <w:b w:val="false"/>
                <w:bCs w:val="false"/>
              </w:rPr>
              <w:t xml:space="preserve">Pintle Sleeve / Tip Ring</w:t>
            </w:r>
          </w:p>
        </w:tc>
        <w:tc>
          <w:tcPr>
            <w:tcW w:type="dxa" w:w="1600"/>
            <w:tcMar>
              <w:top w:type="dxa" w:w="60"/>
              <w:left w:type="dxa" w:w="100"/>
              <w:bottom w:type="dxa" w:w="60"/>
              <w:right w:type="dxa" w:w="100"/>
            </w:tcMar>
          </w:tcPr>
          <w:p>
            <w:pPr>
              <w:jc w:val="left"/>
            </w:pPr>
            <w:r>
              <w:rPr>
                <w:b w:val="false"/>
                <w:bCs w:val="false"/>
              </w:rPr>
              <w:t xml:space="preserve">Sheet 2</w:t>
            </w:r>
          </w:p>
        </w:tc>
        <w:tc>
          <w:tcPr>
            <w:tcW w:type="dxa" w:w="4600"/>
            <w:tcMar>
              <w:top w:type="dxa" w:w="60"/>
              <w:left w:type="dxa" w:w="100"/>
              <w:bottom w:type="dxa" w:w="60"/>
              <w:right w:type="dxa" w:w="100"/>
            </w:tcMar>
          </w:tcPr>
          <w:p>
            <w:pPr>
              <w:jc w:val="left"/>
            </w:pPr>
            <w:r>
              <w:rPr>
                <w:b w:val="false"/>
                <w:bCs w:val="false"/>
              </w:rPr>
              <w:t xml:space="preserve">Multi-step Revolve, Equation-linked bore diameters</w:t>
            </w:r>
          </w:p>
        </w:tc>
      </w:tr>
      <w:tr>
        <w:tc>
          <w:tcPr>
            <w:tcW w:type="dxa" w:w="1400"/>
            <w:tcMar>
              <w:top w:type="dxa" w:w="60"/>
              <w:left w:type="dxa" w:w="100"/>
              <w:bottom w:type="dxa" w:w="60"/>
              <w:right w:type="dxa" w:w="100"/>
            </w:tcMar>
          </w:tcPr>
          <w:p>
            <w:pPr>
              <w:jc w:val="left"/>
            </w:pPr>
            <w:r>
              <w:rPr>
                <w:b w:val="false"/>
                <w:bCs w:val="false"/>
              </w:rPr>
              <w:t xml:space="preserve">PI-003</w:t>
            </w:r>
          </w:p>
        </w:tc>
        <w:tc>
          <w:tcPr>
            <w:tcW w:type="dxa" w:w="3400"/>
            <w:tcMar>
              <w:top w:type="dxa" w:w="60"/>
              <w:left w:type="dxa" w:w="100"/>
              <w:bottom w:type="dxa" w:w="60"/>
              <w:right w:type="dxa" w:w="100"/>
            </w:tcMar>
          </w:tcPr>
          <w:p>
            <w:pPr>
              <w:jc w:val="left"/>
            </w:pPr>
            <w:r>
              <w:rPr>
                <w:b w:val="false"/>
                <w:bCs w:val="false"/>
              </w:rPr>
              <w:t xml:space="preserve">Outer Body — Spiral+Vane Manifold</w:t>
            </w:r>
          </w:p>
        </w:tc>
        <w:tc>
          <w:tcPr>
            <w:tcW w:type="dxa" w:w="1600"/>
            <w:tcMar>
              <w:top w:type="dxa" w:w="60"/>
              <w:left w:type="dxa" w:w="100"/>
              <w:bottom w:type="dxa" w:w="60"/>
              <w:right w:type="dxa" w:w="100"/>
            </w:tcMar>
          </w:tcPr>
          <w:p>
            <w:pPr>
              <w:jc w:val="left"/>
            </w:pPr>
            <w:r>
              <w:rPr>
                <w:b w:val="false"/>
                <w:bCs w:val="false"/>
              </w:rPr>
              <w:t xml:space="preserve">Sheet 3</w:t>
            </w:r>
          </w:p>
        </w:tc>
        <w:tc>
          <w:tcPr>
            <w:tcW w:type="dxa" w:w="4600"/>
            <w:tcMar>
              <w:top w:type="dxa" w:w="60"/>
              <w:left w:type="dxa" w:w="100"/>
              <w:bottom w:type="dxa" w:w="60"/>
              <w:right w:type="dxa" w:w="100"/>
            </w:tcMar>
          </w:tcPr>
          <w:p>
            <w:pPr>
              <w:jc w:val="left"/>
            </w:pPr>
            <w:r>
              <w:rPr>
                <w:b w:val="false"/>
                <w:bCs w:val="false"/>
              </w:rPr>
              <w:t xml:space="preserve">Helix/Spiral, Loft w/ Guide Curves, Wrap, Boolean subtract</w:t>
            </w:r>
          </w:p>
        </w:tc>
      </w:tr>
      <w:tr>
        <w:tc>
          <w:tcPr>
            <w:tcW w:type="dxa" w:w="1400"/>
            <w:tcMar>
              <w:top w:type="dxa" w:w="60"/>
              <w:left w:type="dxa" w:w="100"/>
              <w:bottom w:type="dxa" w:w="60"/>
              <w:right w:type="dxa" w:w="100"/>
            </w:tcMar>
          </w:tcPr>
          <w:p>
            <w:pPr>
              <w:jc w:val="left"/>
            </w:pPr>
            <w:r>
              <w:rPr>
                <w:b w:val="false"/>
                <w:bCs w:val="false"/>
              </w:rPr>
              <w:t xml:space="preserve">PI-003B</w:t>
            </w:r>
          </w:p>
        </w:tc>
        <w:tc>
          <w:tcPr>
            <w:tcW w:type="dxa" w:w="3400"/>
            <w:tcMar>
              <w:top w:type="dxa" w:w="60"/>
              <w:left w:type="dxa" w:w="100"/>
              <w:bottom w:type="dxa" w:w="60"/>
              <w:right w:type="dxa" w:w="100"/>
            </w:tcMar>
          </w:tcPr>
          <w:p>
            <w:pPr>
              <w:jc w:val="left"/>
            </w:pPr>
            <w:r>
              <w:rPr>
                <w:b w:val="false"/>
                <w:bCs w:val="false"/>
              </w:rPr>
              <w:t xml:space="preserve">Outer Body — Baseline Manifold (control)</w:t>
            </w:r>
          </w:p>
        </w:tc>
        <w:tc>
          <w:tcPr>
            <w:tcW w:type="dxa" w:w="1600"/>
            <w:tcMar>
              <w:top w:type="dxa" w:w="60"/>
              <w:left w:type="dxa" w:w="100"/>
              <w:bottom w:type="dxa" w:w="60"/>
              <w:right w:type="dxa" w:w="100"/>
            </w:tcMar>
          </w:tcPr>
          <w:p>
            <w:pPr>
              <w:jc w:val="left"/>
            </w:pPr>
            <w:r>
              <w:rPr>
                <w:b w:val="false"/>
                <w:bCs w:val="false"/>
              </w:rPr>
              <w:t xml:space="preserve">Sheet 4</w:t>
            </w:r>
          </w:p>
        </w:tc>
        <w:tc>
          <w:tcPr>
            <w:tcW w:type="dxa" w:w="4600"/>
            <w:tcMar>
              <w:top w:type="dxa" w:w="60"/>
              <w:left w:type="dxa" w:w="100"/>
              <w:bottom w:type="dxa" w:w="60"/>
              <w:right w:type="dxa" w:w="100"/>
            </w:tcMar>
          </w:tcPr>
          <w:p>
            <w:pPr>
              <w:jc w:val="left"/>
            </w:pPr>
            <w:r>
              <w:rPr>
                <w:b w:val="false"/>
                <w:bCs w:val="false"/>
              </w:rPr>
              <w:t xml:space="preserve">Swept Boss/Cut (constant section)</w:t>
            </w:r>
          </w:p>
        </w:tc>
      </w:tr>
      <w:tr>
        <w:tc>
          <w:tcPr>
            <w:tcW w:type="dxa" w:w="1400"/>
            <w:tcMar>
              <w:top w:type="dxa" w:w="60"/>
              <w:left w:type="dxa" w:w="100"/>
              <w:bottom w:type="dxa" w:w="60"/>
              <w:right w:type="dxa" w:w="100"/>
            </w:tcMar>
          </w:tcPr>
          <w:p>
            <w:pPr>
              <w:jc w:val="left"/>
            </w:pPr>
            <w:r>
              <w:rPr>
                <w:b w:val="false"/>
                <w:bCs w:val="false"/>
              </w:rPr>
              <w:t xml:space="preserve">PI-005</w:t>
            </w:r>
          </w:p>
        </w:tc>
        <w:tc>
          <w:tcPr>
            <w:tcW w:type="dxa" w:w="3400"/>
            <w:tcMar>
              <w:top w:type="dxa" w:w="60"/>
              <w:left w:type="dxa" w:w="100"/>
              <w:bottom w:type="dxa" w:w="60"/>
              <w:right w:type="dxa" w:w="100"/>
            </w:tcMar>
          </w:tcPr>
          <w:p>
            <w:pPr>
              <w:jc w:val="left"/>
            </w:pPr>
            <w:r>
              <w:rPr>
                <w:b w:val="false"/>
                <w:bCs w:val="false"/>
              </w:rPr>
              <w:t xml:space="preserve">Turning Vane (×12)</w:t>
            </w:r>
          </w:p>
        </w:tc>
        <w:tc>
          <w:tcPr>
            <w:tcW w:type="dxa" w:w="1600"/>
            <w:tcMar>
              <w:top w:type="dxa" w:w="60"/>
              <w:left w:type="dxa" w:w="100"/>
              <w:bottom w:type="dxa" w:w="60"/>
              <w:right w:type="dxa" w:w="100"/>
            </w:tcMar>
          </w:tcPr>
          <w:p>
            <w:pPr>
              <w:jc w:val="left"/>
            </w:pPr>
            <w:r>
              <w:rPr>
                <w:b w:val="false"/>
                <w:bCs w:val="false"/>
              </w:rPr>
              <w:t xml:space="preserve">Sheet 5</w:t>
            </w:r>
          </w:p>
        </w:tc>
        <w:tc>
          <w:tcPr>
            <w:tcW w:type="dxa" w:w="4600"/>
            <w:tcMar>
              <w:top w:type="dxa" w:w="60"/>
              <w:left w:type="dxa" w:w="100"/>
              <w:bottom w:type="dxa" w:w="60"/>
              <w:right w:type="dxa" w:w="100"/>
            </w:tcMar>
          </w:tcPr>
          <w:p>
            <w:pPr>
              <w:jc w:val="left"/>
            </w:pPr>
            <w:r>
              <w:rPr>
                <w:b w:val="false"/>
                <w:bCs w:val="false"/>
              </w:rPr>
              <w:t xml:space="preserve">Boundary/Loft blade profile, Circular Component Pattern</w:t>
            </w:r>
          </w:p>
        </w:tc>
      </w:tr>
      <w:tr>
        <w:tc>
          <w:tcPr>
            <w:tcW w:type="dxa" w:w="1400"/>
            <w:tcMar>
              <w:top w:type="dxa" w:w="60"/>
              <w:left w:type="dxa" w:w="100"/>
              <w:bottom w:type="dxa" w:w="60"/>
              <w:right w:type="dxa" w:w="100"/>
            </w:tcMar>
          </w:tcPr>
          <w:p>
            <w:pPr>
              <w:jc w:val="left"/>
            </w:pPr>
            <w:r>
              <w:rPr>
                <w:b w:val="false"/>
                <w:bCs w:val="false"/>
              </w:rPr>
              <w:t xml:space="preserve">PI-006</w:t>
            </w:r>
          </w:p>
        </w:tc>
        <w:tc>
          <w:tcPr>
            <w:tcW w:type="dxa" w:w="3400"/>
            <w:tcMar>
              <w:top w:type="dxa" w:w="60"/>
              <w:left w:type="dxa" w:w="100"/>
              <w:bottom w:type="dxa" w:w="60"/>
              <w:right w:type="dxa" w:w="100"/>
            </w:tcMar>
          </w:tcPr>
          <w:p>
            <w:pPr>
              <w:jc w:val="left"/>
            </w:pPr>
            <w:r>
              <w:rPr>
                <w:b w:val="false"/>
                <w:bCs w:val="false"/>
              </w:rPr>
              <w:t xml:space="preserve">Faceplate / Retaining Backplate</w:t>
            </w:r>
          </w:p>
        </w:tc>
        <w:tc>
          <w:tcPr>
            <w:tcW w:type="dxa" w:w="1600"/>
            <w:tcMar>
              <w:top w:type="dxa" w:w="60"/>
              <w:left w:type="dxa" w:w="100"/>
              <w:bottom w:type="dxa" w:w="60"/>
              <w:right w:type="dxa" w:w="100"/>
            </w:tcMar>
          </w:tcPr>
          <w:p>
            <w:pPr>
              <w:jc w:val="left"/>
            </w:pPr>
            <w:r>
              <w:rPr>
                <w:b w:val="false"/>
                <w:bCs w:val="false"/>
              </w:rPr>
              <w:t xml:space="preserve">Sheet 6</w:t>
            </w:r>
          </w:p>
        </w:tc>
        <w:tc>
          <w:tcPr>
            <w:tcW w:type="dxa" w:w="4600"/>
            <w:tcMar>
              <w:top w:type="dxa" w:w="60"/>
              <w:left w:type="dxa" w:w="100"/>
              <w:bottom w:type="dxa" w:w="60"/>
              <w:right w:type="dxa" w:w="100"/>
            </w:tcMar>
          </w:tcPr>
          <w:p>
            <w:pPr>
              <w:jc w:val="left"/>
            </w:pPr>
            <w:r>
              <w:rPr>
                <w:b w:val="false"/>
                <w:bCs w:val="false"/>
              </w:rPr>
              <w:t xml:space="preserve">Revolve, Circular Pattern (bolt holes), Groove cut</w:t>
            </w:r>
          </w:p>
        </w:tc>
      </w:tr>
      <w:tr>
        <w:tc>
          <w:tcPr>
            <w:tcW w:type="dxa" w:w="1400"/>
            <w:tcMar>
              <w:top w:type="dxa" w:w="60"/>
              <w:left w:type="dxa" w:w="100"/>
              <w:bottom w:type="dxa" w:w="60"/>
              <w:right w:type="dxa" w:w="100"/>
            </w:tcMar>
          </w:tcPr>
          <w:p>
            <w:pPr>
              <w:jc w:val="left"/>
            </w:pPr>
            <w:r>
              <w:rPr>
                <w:b w:val="false"/>
                <w:bCs w:val="false"/>
              </w:rPr>
              <w:t xml:space="preserve">PI-007</w:t>
            </w:r>
          </w:p>
        </w:tc>
        <w:tc>
          <w:tcPr>
            <w:tcW w:type="dxa" w:w="3400"/>
            <w:tcMar>
              <w:top w:type="dxa" w:w="60"/>
              <w:left w:type="dxa" w:w="100"/>
              <w:bottom w:type="dxa" w:w="60"/>
              <w:right w:type="dxa" w:w="100"/>
            </w:tcMar>
          </w:tcPr>
          <w:p>
            <w:pPr>
              <w:jc w:val="left"/>
            </w:pPr>
            <w:r>
              <w:rPr>
                <w:b w:val="false"/>
                <w:bCs w:val="false"/>
              </w:rPr>
              <w:t xml:space="preserve">Guide Bushing (×2)</w:t>
            </w:r>
          </w:p>
        </w:tc>
        <w:tc>
          <w:tcPr>
            <w:tcW w:type="dxa" w:w="1600"/>
            <w:tcMar>
              <w:top w:type="dxa" w:w="60"/>
              <w:left w:type="dxa" w:w="100"/>
              <w:bottom w:type="dxa" w:w="60"/>
              <w:right w:type="dxa" w:w="100"/>
            </w:tcMar>
          </w:tcPr>
          <w:p>
            <w:pPr>
              <w:jc w:val="left"/>
            </w:pPr>
            <w:r>
              <w:rPr>
                <w:b w:val="false"/>
                <w:bCs w:val="false"/>
              </w:rPr>
              <w:t xml:space="preserve">Sheet 7</w:t>
            </w:r>
          </w:p>
        </w:tc>
        <w:tc>
          <w:tcPr>
            <w:tcW w:type="dxa" w:w="4600"/>
            <w:tcMar>
              <w:top w:type="dxa" w:w="60"/>
              <w:left w:type="dxa" w:w="100"/>
              <w:bottom w:type="dxa" w:w="60"/>
              <w:right w:type="dxa" w:w="100"/>
            </w:tcMar>
          </w:tcPr>
          <w:p>
            <w:pPr>
              <w:jc w:val="left"/>
            </w:pPr>
            <w:r>
              <w:rPr>
                <w:b w:val="false"/>
                <w:bCs w:val="false"/>
              </w:rPr>
              <w:t xml:space="preserve">Revolve with chamfers, Equation-linked bore</w:t>
            </w:r>
          </w:p>
        </w:tc>
      </w:tr>
      <w:tr>
        <w:tc>
          <w:tcPr>
            <w:tcW w:type="dxa" w:w="1400"/>
            <w:tcMar>
              <w:top w:type="dxa" w:w="60"/>
              <w:left w:type="dxa" w:w="100"/>
              <w:bottom w:type="dxa" w:w="60"/>
              <w:right w:type="dxa" w:w="100"/>
            </w:tcMar>
          </w:tcPr>
          <w:p>
            <w:pPr>
              <w:jc w:val="left"/>
            </w:pPr>
            <w:r>
              <w:rPr>
                <w:b w:val="false"/>
                <w:bCs w:val="false"/>
              </w:rPr>
              <w:t xml:space="preserve">PI-008</w:t>
            </w:r>
          </w:p>
        </w:tc>
        <w:tc>
          <w:tcPr>
            <w:tcW w:type="dxa" w:w="3400"/>
            <w:tcMar>
              <w:top w:type="dxa" w:w="60"/>
              <w:left w:type="dxa" w:w="100"/>
              <w:bottom w:type="dxa" w:w="60"/>
              <w:right w:type="dxa" w:w="100"/>
            </w:tcMar>
          </w:tcPr>
          <w:p>
            <w:pPr>
              <w:jc w:val="left"/>
            </w:pPr>
            <w:r>
              <w:rPr>
                <w:b w:val="false"/>
                <w:bCs w:val="false"/>
              </w:rPr>
              <w:t xml:space="preserve">Actuator Coupling</w:t>
            </w:r>
          </w:p>
        </w:tc>
        <w:tc>
          <w:tcPr>
            <w:tcW w:type="dxa" w:w="1600"/>
            <w:tcMar>
              <w:top w:type="dxa" w:w="60"/>
              <w:left w:type="dxa" w:w="100"/>
              <w:bottom w:type="dxa" w:w="60"/>
              <w:right w:type="dxa" w:w="100"/>
            </w:tcMar>
          </w:tcPr>
          <w:p>
            <w:pPr>
              <w:jc w:val="left"/>
            </w:pPr>
            <w:r>
              <w:rPr>
                <w:b w:val="false"/>
                <w:bCs w:val="false"/>
              </w:rPr>
              <w:t xml:space="preserve">Sheet 8</w:t>
            </w:r>
          </w:p>
        </w:tc>
        <w:tc>
          <w:tcPr>
            <w:tcW w:type="dxa" w:w="4600"/>
            <w:tcMar>
              <w:top w:type="dxa" w:w="60"/>
              <w:left w:type="dxa" w:w="100"/>
              <w:bottom w:type="dxa" w:w="60"/>
              <w:right w:type="dxa" w:w="100"/>
            </w:tcMar>
          </w:tcPr>
          <w:p>
            <w:pPr>
              <w:jc w:val="left"/>
            </w:pPr>
            <w:r>
              <w:rPr>
                <w:b w:val="false"/>
                <w:bCs w:val="false"/>
              </w:rPr>
              <w:t xml:space="preserve">Revolve, Cosmetic/Cut thread, Hole Wizard (set screws)</w:t>
            </w:r>
          </w:p>
        </w:tc>
      </w:tr>
    </w:tbl>
    <w:p>
      <w:r>
        <w:br w:type="page"/>
      </w:r>
    </w:p>
    <w:p>
      <w:pPr>
        <w:pStyle w:val="Heading1"/>
        <w:spacing w:after="160" w:before="320"/>
      </w:pPr>
      <w:r>
        <w:t xml:space="preserve">1. Global Parameter Sheet (Do This First)</w:t>
      </w:r>
    </w:p>
    <w:p>
      <w:pPr>
        <w:spacing w:after="140"/>
      </w:pPr>
      <w:r>
        <w:t xml:space="preserve">Before modeling any part, set up a single equation-driven parameter sheet so every downstream sketch references a variable — never a raw number. This is what lets you change tag, Dt, or the throttle position once and have every part and every drawing update together.</w:t>
      </w:r>
    </w:p>
    <w:p>
      <w:pPr>
        <w:pStyle w:val="Heading2"/>
        <w:spacing w:after="120" w:before="240"/>
      </w:pPr>
      <w:r>
        <w:t xml:space="preserve">1.1 Create the master equations file</w:t>
      </w:r>
    </w:p>
    <w:p>
      <w:pPr>
        <w:pStyle w:val="ListParagraph"/>
        <w:numPr>
          <w:ilvl w:val="0"/>
          <w:numId w:val="2"/>
        </w:numPr>
        <w:spacing w:after="60"/>
      </w:pPr>
      <w:r>
        <w:t xml:space="preserve">Start a new Part (or use a lightweight “master” part purely for equations).</w:t>
      </w:r>
    </w:p>
    <w:p>
      <w:pPr>
        <w:pStyle w:val="ListParagraph"/>
        <w:numPr>
          <w:ilvl w:val="0"/>
          <w:numId w:val="2"/>
        </w:numPr>
        <w:spacing w:after="60"/>
      </w:pPr>
      <w:r>
        <w:t xml:space="preserve">Tools → Equations → Global Variables. Enter each variable in the table below.</w:t>
      </w:r>
    </w:p>
    <w:p>
      <w:pPr>
        <w:pStyle w:val="ListParagraph"/>
        <w:numPr>
          <w:ilvl w:val="0"/>
          <w:numId w:val="2"/>
        </w:numPr>
        <w:spacing w:after="60"/>
      </w:pPr>
      <w:r>
        <w:t xml:space="preserve">File → Save As → keep this part as e.g. “pintle_master_equations.SLDPRT”.</w:t>
      </w:r>
    </w:p>
    <w:p>
      <w:pPr>
        <w:pStyle w:val="ListParagraph"/>
        <w:numPr>
          <w:ilvl w:val="0"/>
          <w:numId w:val="2"/>
        </w:numPr>
        <w:spacing w:after="60"/>
      </w:pPr>
      <w:r>
        <w:t xml:space="preserve">In every OTHER part, go to Equations → Manage → “Link to External File” and browse to this master file. All parts now share one source of truth.</w:t>
      </w:r>
    </w:p>
    <w:p>
      <w:pPr>
        <w:pStyle w:val="Heading2"/>
        <w:spacing w:after="120" w:before="240"/>
      </w:pPr>
      <w:r>
        <w:t xml:space="preserve">1.2 Global variable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3600"/>
        <w:gridCol w:w="1700"/>
      </w:tblGrid>
      <w:tr>
        <w:trPr>
          <w:tblHeader/>
        </w:trPr>
        <w:tc>
          <w:tcPr>
            <w:tcW w:type="dxa" w:w="1600"/>
            <w:shd w:fill="d6e4f0" w:val="clear"/>
            <w:tcMar>
              <w:top w:type="dxa" w:w="60"/>
              <w:left w:type="dxa" w:w="100"/>
              <w:bottom w:type="dxa" w:w="60"/>
              <w:right w:type="dxa" w:w="100"/>
            </w:tcMar>
          </w:tcPr>
          <w:p>
            <w:pPr>
              <w:jc w:val="left"/>
            </w:pPr>
            <w:r>
              <w:rPr>
                <w:b/>
                <w:bCs/>
              </w:rPr>
              <w:t xml:space="preserve">Variable</w:t>
            </w:r>
          </w:p>
        </w:tc>
        <w:tc>
          <w:tcPr>
            <w:tcW w:type="dxa" w:w="2100"/>
            <w:shd w:fill="d6e4f0" w:val="clear"/>
            <w:tcMar>
              <w:top w:type="dxa" w:w="60"/>
              <w:left w:type="dxa" w:w="100"/>
              <w:bottom w:type="dxa" w:w="60"/>
              <w:right w:type="dxa" w:w="100"/>
            </w:tcMar>
          </w:tcPr>
          <w:p>
            <w:pPr>
              <w:jc w:val="left"/>
            </w:pPr>
            <w:r>
              <w:rPr>
                <w:b/>
                <w:bCs/>
              </w:rPr>
              <w:t xml:space="preserve">Value</w:t>
            </w:r>
          </w:p>
        </w:tc>
        <w:tc>
          <w:tcPr>
            <w:tcW w:type="dxa" w:w="3600"/>
            <w:shd w:fill="d6e4f0" w:val="clear"/>
            <w:tcMar>
              <w:top w:type="dxa" w:w="60"/>
              <w:left w:type="dxa" w:w="100"/>
              <w:bottom w:type="dxa" w:w="60"/>
              <w:right w:type="dxa" w:w="100"/>
            </w:tcMar>
          </w:tcPr>
          <w:p>
            <w:pPr>
              <w:jc w:val="left"/>
            </w:pPr>
            <w:r>
              <w:rPr>
                <w:b/>
                <w:bCs/>
              </w:rPr>
              <w:t xml:space="preserve">Meaning</w:t>
            </w:r>
          </w:p>
        </w:tc>
        <w:tc>
          <w:tcPr>
            <w:tcW w:type="dxa" w:w="1700"/>
            <w:shd w:fill="d6e4f0" w:val="clear"/>
            <w:tcMar>
              <w:top w:type="dxa" w:w="60"/>
              <w:left w:type="dxa" w:w="100"/>
              <w:bottom w:type="dxa" w:w="60"/>
              <w:right w:type="dxa" w:w="100"/>
            </w:tcMar>
          </w:tcPr>
          <w:p>
            <w:pPr>
              <w:jc w:val="left"/>
            </w:pPr>
            <w:r>
              <w:rPr>
                <w:b/>
                <w:bCs/>
              </w:rPr>
              <w:t xml:space="preserve">Source</w:t>
            </w:r>
          </w:p>
        </w:tc>
      </w:tr>
      <w:tr>
        <w:tc>
          <w:tcPr>
            <w:tcW w:type="dxa" w:w="1600"/>
            <w:tcMar>
              <w:top w:type="dxa" w:w="60"/>
              <w:left w:type="dxa" w:w="100"/>
              <w:bottom w:type="dxa" w:w="60"/>
              <w:right w:type="dxa" w:w="100"/>
            </w:tcMar>
          </w:tcPr>
          <w:p>
            <w:pPr>
              <w:jc w:val="left"/>
            </w:pPr>
            <w:r>
              <w:rPr>
                <w:b w:val="false"/>
                <w:bCs w:val="false"/>
              </w:rPr>
              <w:t xml:space="preserve">Dp</w:t>
            </w:r>
          </w:p>
        </w:tc>
        <w:tc>
          <w:tcPr>
            <w:tcW w:type="dxa" w:w="2100"/>
            <w:tcMar>
              <w:top w:type="dxa" w:w="60"/>
              <w:left w:type="dxa" w:w="100"/>
              <w:bottom w:type="dxa" w:w="60"/>
              <w:right w:type="dxa" w:w="100"/>
            </w:tcMar>
          </w:tcPr>
          <w:p>
            <w:pPr>
              <w:jc w:val="left"/>
            </w:pPr>
            <w:r>
              <w:rPr>
                <w:b w:val="false"/>
                <w:bCs w:val="false"/>
              </w:rPr>
              <w:t xml:space="preserve">3.00 mm</w:t>
            </w:r>
          </w:p>
        </w:tc>
        <w:tc>
          <w:tcPr>
            <w:tcW w:type="dxa" w:w="3600"/>
            <w:tcMar>
              <w:top w:type="dxa" w:w="60"/>
              <w:left w:type="dxa" w:w="100"/>
              <w:bottom w:type="dxa" w:w="60"/>
              <w:right w:type="dxa" w:w="100"/>
            </w:tcMar>
          </w:tcPr>
          <w:p>
            <w:pPr>
              <w:jc w:val="left"/>
            </w:pPr>
            <w:r>
              <w:rPr>
                <w:b w:val="false"/>
                <w:bCs w:val="false"/>
              </w:rPr>
              <w:t xml:space="preserve">Pintle rod / shaft diameter</w:t>
            </w:r>
          </w:p>
        </w:tc>
        <w:tc>
          <w:tcPr>
            <w:tcW w:type="dxa" w:w="1700"/>
            <w:tcMar>
              <w:top w:type="dxa" w:w="60"/>
              <w:left w:type="dxa" w:w="100"/>
              <w:bottom w:type="dxa" w:w="60"/>
              <w:right w:type="dxa" w:w="100"/>
            </w:tcMar>
          </w:tcPr>
          <w:p>
            <w:pPr>
              <w:jc w:val="left"/>
            </w:pPr>
            <w:r>
              <w:rPr>
                <w:b w:val="false"/>
                <w:bCs w:val="false"/>
              </w:rPr>
              <w:t xml:space="preserve">METU Table 3.1, Type-1</w:t>
            </w:r>
          </w:p>
        </w:tc>
      </w:tr>
      <w:tr>
        <w:tc>
          <w:tcPr>
            <w:tcW w:type="dxa" w:w="1600"/>
            <w:tcMar>
              <w:top w:type="dxa" w:w="60"/>
              <w:left w:type="dxa" w:w="100"/>
              <w:bottom w:type="dxa" w:w="60"/>
              <w:right w:type="dxa" w:w="100"/>
            </w:tcMar>
          </w:tcPr>
          <w:p>
            <w:pPr>
              <w:jc w:val="left"/>
            </w:pPr>
            <w:r>
              <w:rPr>
                <w:b w:val="false"/>
                <w:bCs w:val="false"/>
              </w:rPr>
              <w:t xml:space="preserve">Dt</w:t>
            </w:r>
          </w:p>
        </w:tc>
        <w:tc>
          <w:tcPr>
            <w:tcW w:type="dxa" w:w="2100"/>
            <w:tcMar>
              <w:top w:type="dxa" w:w="60"/>
              <w:left w:type="dxa" w:w="100"/>
              <w:bottom w:type="dxa" w:w="60"/>
              <w:right w:type="dxa" w:w="100"/>
            </w:tcMar>
          </w:tcPr>
          <w:p>
            <w:pPr>
              <w:jc w:val="left"/>
            </w:pPr>
            <w:r>
              <w:rPr>
                <w:b w:val="false"/>
                <w:bCs w:val="false"/>
              </w:rPr>
              <w:t xml:space="preserve">8.00 mm</w:t>
            </w:r>
          </w:p>
        </w:tc>
        <w:tc>
          <w:tcPr>
            <w:tcW w:type="dxa" w:w="3600"/>
            <w:tcMar>
              <w:top w:type="dxa" w:w="60"/>
              <w:left w:type="dxa" w:w="100"/>
              <w:bottom w:type="dxa" w:w="60"/>
              <w:right w:type="dxa" w:w="100"/>
            </w:tcMar>
          </w:tcPr>
          <w:p>
            <w:pPr>
              <w:jc w:val="left"/>
            </w:pPr>
            <w:r>
              <w:rPr>
                <w:b w:val="false"/>
                <w:bCs w:val="false"/>
              </w:rPr>
              <w:t xml:space="preserve">Pintle tip diameter</w:t>
            </w:r>
          </w:p>
        </w:tc>
        <w:tc>
          <w:tcPr>
            <w:tcW w:type="dxa" w:w="1700"/>
            <w:tcMar>
              <w:top w:type="dxa" w:w="60"/>
              <w:left w:type="dxa" w:w="100"/>
              <w:bottom w:type="dxa" w:w="60"/>
              <w:right w:type="dxa" w:w="100"/>
            </w:tcMar>
          </w:tcPr>
          <w:p>
            <w:pPr>
              <w:jc w:val="left"/>
            </w:pPr>
            <w:r>
              <w:rPr>
                <w:b w:val="false"/>
                <w:bCs w:val="false"/>
              </w:rPr>
              <w:t xml:space="preserve">METU Table 3.1, Type-1</w:t>
            </w:r>
          </w:p>
        </w:tc>
      </w:tr>
      <w:tr>
        <w:tc>
          <w:tcPr>
            <w:tcW w:type="dxa" w:w="1600"/>
            <w:tcMar>
              <w:top w:type="dxa" w:w="60"/>
              <w:left w:type="dxa" w:w="100"/>
              <w:bottom w:type="dxa" w:w="60"/>
              <w:right w:type="dxa" w:w="100"/>
            </w:tcMar>
          </w:tcPr>
          <w:p>
            <w:pPr>
              <w:jc w:val="left"/>
            </w:pPr>
            <w:r>
              <w:rPr>
                <w:b w:val="false"/>
                <w:bCs w:val="false"/>
              </w:rPr>
              <w:t xml:space="preserve">alpha</w:t>
            </w:r>
          </w:p>
        </w:tc>
        <w:tc>
          <w:tcPr>
            <w:tcW w:type="dxa" w:w="2100"/>
            <w:tcMar>
              <w:top w:type="dxa" w:w="60"/>
              <w:left w:type="dxa" w:w="100"/>
              <w:bottom w:type="dxa" w:w="60"/>
              <w:right w:type="dxa" w:w="100"/>
            </w:tcMar>
          </w:tcPr>
          <w:p>
            <w:pPr>
              <w:jc w:val="left"/>
            </w:pPr>
            <w:r>
              <w:rPr>
                <w:b w:val="false"/>
                <w:bCs w:val="false"/>
              </w:rPr>
              <w:t xml:space="preserve">20 deg</w:t>
            </w:r>
          </w:p>
        </w:tc>
        <w:tc>
          <w:tcPr>
            <w:tcW w:type="dxa" w:w="3600"/>
            <w:tcMar>
              <w:top w:type="dxa" w:w="60"/>
              <w:left w:type="dxa" w:w="100"/>
              <w:bottom w:type="dxa" w:w="60"/>
              <w:right w:type="dxa" w:w="100"/>
            </w:tcMar>
          </w:tcPr>
          <w:p>
            <w:pPr>
              <w:jc w:val="left"/>
            </w:pPr>
            <w:r>
              <w:rPr>
                <w:b w:val="false"/>
                <w:bCs w:val="false"/>
              </w:rPr>
              <w:t xml:space="preserve">Pintle half-angle from centerline</w:t>
            </w:r>
          </w:p>
        </w:tc>
        <w:tc>
          <w:tcPr>
            <w:tcW w:type="dxa" w:w="1700"/>
            <w:tcMar>
              <w:top w:type="dxa" w:w="60"/>
              <w:left w:type="dxa" w:w="100"/>
              <w:bottom w:type="dxa" w:w="60"/>
              <w:right w:type="dxa" w:w="100"/>
            </w:tcMar>
          </w:tcPr>
          <w:p>
            <w:pPr>
              <w:jc w:val="left"/>
            </w:pPr>
            <w:r>
              <w:rPr>
                <w:b w:val="false"/>
                <w:bCs w:val="false"/>
              </w:rPr>
              <w:t xml:space="preserve">METU Table 3.1, Type-1</w:t>
            </w:r>
          </w:p>
        </w:tc>
      </w:tr>
      <w:tr>
        <w:tc>
          <w:tcPr>
            <w:tcW w:type="dxa" w:w="1600"/>
            <w:tcMar>
              <w:top w:type="dxa" w:w="60"/>
              <w:left w:type="dxa" w:w="100"/>
              <w:bottom w:type="dxa" w:w="60"/>
              <w:right w:type="dxa" w:w="100"/>
            </w:tcMar>
          </w:tcPr>
          <w:p>
            <w:pPr>
              <w:jc w:val="left"/>
            </w:pPr>
            <w:r>
              <w:rPr>
                <w:b w:val="false"/>
                <w:bCs w:val="false"/>
              </w:rPr>
              <w:t xml:space="preserve">tag</w:t>
            </w:r>
          </w:p>
        </w:tc>
        <w:tc>
          <w:tcPr>
            <w:tcW w:type="dxa" w:w="2100"/>
            <w:tcMar>
              <w:top w:type="dxa" w:w="60"/>
              <w:left w:type="dxa" w:w="100"/>
              <w:bottom w:type="dxa" w:w="60"/>
              <w:right w:type="dxa" w:w="100"/>
            </w:tcMar>
          </w:tcPr>
          <w:p>
            <w:pPr>
              <w:jc w:val="left"/>
            </w:pPr>
            <w:r>
              <w:rPr>
                <w:b w:val="false"/>
                <w:bCs w:val="false"/>
              </w:rPr>
              <w:t xml:space="preserve">0.50 mm</w:t>
            </w:r>
          </w:p>
        </w:tc>
        <w:tc>
          <w:tcPr>
            <w:tcW w:type="dxa" w:w="3600"/>
            <w:tcMar>
              <w:top w:type="dxa" w:w="60"/>
              <w:left w:type="dxa" w:w="100"/>
              <w:bottom w:type="dxa" w:w="60"/>
              <w:right w:type="dxa" w:w="100"/>
            </w:tcMar>
          </w:tcPr>
          <w:p>
            <w:pPr>
              <w:jc w:val="left"/>
            </w:pPr>
            <w:r>
              <w:rPr>
                <w:b w:val="false"/>
                <w:bCs w:val="false"/>
              </w:rPr>
              <w:t xml:space="preserve">Annular (fuel) gap at tip, nominal/max-thrust</w:t>
            </w:r>
          </w:p>
        </w:tc>
        <w:tc>
          <w:tcPr>
            <w:tcW w:type="dxa" w:w="1700"/>
            <w:tcMar>
              <w:top w:type="dxa" w:w="60"/>
              <w:left w:type="dxa" w:w="100"/>
              <w:bottom w:type="dxa" w:w="60"/>
              <w:right w:type="dxa" w:w="100"/>
            </w:tcMar>
          </w:tcPr>
          <w:p>
            <w:pPr>
              <w:jc w:val="left"/>
            </w:pPr>
            <w:r>
              <w:rPr>
                <w:b w:val="false"/>
                <w:bCs w:val="false"/>
              </w:rPr>
              <w:t xml:space="preserve">METU Table 3.1, Type-1</w:t>
            </w:r>
          </w:p>
        </w:tc>
      </w:tr>
      <w:tr>
        <w:tc>
          <w:tcPr>
            <w:tcW w:type="dxa" w:w="1600"/>
            <w:tcMar>
              <w:top w:type="dxa" w:w="60"/>
              <w:left w:type="dxa" w:w="100"/>
              <w:bottom w:type="dxa" w:w="60"/>
              <w:right w:type="dxa" w:w="100"/>
            </w:tcMar>
          </w:tcPr>
          <w:p>
            <w:pPr>
              <w:jc w:val="left"/>
            </w:pPr>
            <w:r>
              <w:rPr>
                <w:b w:val="false"/>
                <w:bCs w:val="false"/>
              </w:rPr>
              <w:t xml:space="preserve">tpg</w:t>
            </w:r>
          </w:p>
        </w:tc>
        <w:tc>
          <w:tcPr>
            <w:tcW w:type="dxa" w:w="2100"/>
            <w:tcMar>
              <w:top w:type="dxa" w:w="60"/>
              <w:left w:type="dxa" w:w="100"/>
              <w:bottom w:type="dxa" w:w="60"/>
              <w:right w:type="dxa" w:w="100"/>
            </w:tcMar>
          </w:tcPr>
          <w:p>
            <w:pPr>
              <w:jc w:val="left"/>
            </w:pPr>
            <w:r>
              <w:rPr>
                <w:b w:val="false"/>
                <w:bCs w:val="false"/>
              </w:rPr>
              <w:t xml:space="preserve">1.50 mm</w:t>
            </w:r>
          </w:p>
        </w:tc>
        <w:tc>
          <w:tcPr>
            <w:tcW w:type="dxa" w:w="3600"/>
            <w:tcMar>
              <w:top w:type="dxa" w:w="60"/>
              <w:left w:type="dxa" w:w="100"/>
              <w:bottom w:type="dxa" w:w="60"/>
              <w:right w:type="dxa" w:w="100"/>
            </w:tcMar>
          </w:tcPr>
          <w:p>
            <w:pPr>
              <w:jc w:val="left"/>
            </w:pPr>
            <w:r>
              <w:rPr>
                <w:b w:val="false"/>
                <w:bCs w:val="false"/>
              </w:rPr>
              <w:t xml:space="preserve">Pintle gap thickness (upstream fuel annulus)</w:t>
            </w:r>
          </w:p>
        </w:tc>
        <w:tc>
          <w:tcPr>
            <w:tcW w:type="dxa" w:w="1700"/>
            <w:tcMar>
              <w:top w:type="dxa" w:w="60"/>
              <w:left w:type="dxa" w:w="100"/>
              <w:bottom w:type="dxa" w:w="60"/>
              <w:right w:type="dxa" w:w="100"/>
            </w:tcMar>
          </w:tcPr>
          <w:p>
            <w:pPr>
              <w:jc w:val="left"/>
            </w:pPr>
            <w:r>
              <w:rPr>
                <w:b w:val="false"/>
                <w:bCs w:val="false"/>
              </w:rPr>
              <w:t xml:space="preserve">METU Table 3.1, Type-1</w:t>
            </w:r>
          </w:p>
        </w:tc>
      </w:tr>
      <w:tr>
        <w:tc>
          <w:tcPr>
            <w:tcW w:type="dxa" w:w="1600"/>
            <w:tcMar>
              <w:top w:type="dxa" w:w="60"/>
              <w:left w:type="dxa" w:w="100"/>
              <w:bottom w:type="dxa" w:w="60"/>
              <w:right w:type="dxa" w:w="100"/>
            </w:tcMar>
          </w:tcPr>
          <w:p>
            <w:pPr>
              <w:jc w:val="left"/>
            </w:pPr>
            <w:r>
              <w:rPr>
                <w:b w:val="false"/>
                <w:bCs w:val="false"/>
              </w:rPr>
              <w:t xml:space="preserve">tt</w:t>
            </w:r>
          </w:p>
        </w:tc>
        <w:tc>
          <w:tcPr>
            <w:tcW w:type="dxa" w:w="2100"/>
            <w:tcMar>
              <w:top w:type="dxa" w:w="60"/>
              <w:left w:type="dxa" w:w="100"/>
              <w:bottom w:type="dxa" w:w="60"/>
              <w:right w:type="dxa" w:w="100"/>
            </w:tcMar>
          </w:tcPr>
          <w:p>
            <w:pPr>
              <w:jc w:val="left"/>
            </w:pPr>
            <w:r>
              <w:rPr>
                <w:b w:val="false"/>
                <w:bCs w:val="false"/>
              </w:rPr>
              <w:t xml:space="preserve">1.00 mm</w:t>
            </w:r>
          </w:p>
        </w:tc>
        <w:tc>
          <w:tcPr>
            <w:tcW w:type="dxa" w:w="3600"/>
            <w:tcMar>
              <w:top w:type="dxa" w:w="60"/>
              <w:left w:type="dxa" w:w="100"/>
              <w:bottom w:type="dxa" w:w="60"/>
              <w:right w:type="dxa" w:w="100"/>
            </w:tcMar>
          </w:tcPr>
          <w:p>
            <w:pPr>
              <w:jc w:val="left"/>
            </w:pPr>
            <w:r>
              <w:rPr>
                <w:b w:val="false"/>
                <w:bCs w:val="false"/>
              </w:rPr>
              <w:t xml:space="preserve">Tip land (flat) axial thickness</w:t>
            </w:r>
          </w:p>
        </w:tc>
        <w:tc>
          <w:tcPr>
            <w:tcW w:type="dxa" w:w="1700"/>
            <w:tcMar>
              <w:top w:type="dxa" w:w="60"/>
              <w:left w:type="dxa" w:w="100"/>
              <w:bottom w:type="dxa" w:w="60"/>
              <w:right w:type="dxa" w:w="100"/>
            </w:tcMar>
          </w:tcPr>
          <w:p>
            <w:pPr>
              <w:jc w:val="left"/>
            </w:pPr>
            <w:r>
              <w:rPr>
                <w:b w:val="false"/>
                <w:bCs w:val="false"/>
              </w:rPr>
              <w:t xml:space="preserve">Ref. image / METU Fig. 2.1</w:t>
            </w:r>
          </w:p>
        </w:tc>
      </w:tr>
      <w:tr>
        <w:tc>
          <w:tcPr>
            <w:tcW w:type="dxa" w:w="1600"/>
            <w:tcMar>
              <w:top w:type="dxa" w:w="60"/>
              <w:left w:type="dxa" w:w="100"/>
              <w:bottom w:type="dxa" w:w="60"/>
              <w:right w:type="dxa" w:w="100"/>
            </w:tcMar>
          </w:tcPr>
          <w:p>
            <w:pPr>
              <w:jc w:val="left"/>
            </w:pPr>
            <w:r>
              <w:rPr>
                <w:b w:val="false"/>
                <w:bCs w:val="false"/>
              </w:rPr>
              <w:t xml:space="preserve">cone_len</w:t>
            </w:r>
          </w:p>
        </w:tc>
        <w:tc>
          <w:tcPr>
            <w:tcW w:type="dxa" w:w="2100"/>
            <w:tcMar>
              <w:top w:type="dxa" w:w="60"/>
              <w:left w:type="dxa" w:w="100"/>
              <w:bottom w:type="dxa" w:w="60"/>
              <w:right w:type="dxa" w:w="100"/>
            </w:tcMar>
          </w:tcPr>
          <w:p>
            <w:pPr>
              <w:jc w:val="left"/>
            </w:pPr>
            <w:r>
              <w:rPr>
                <w:b w:val="false"/>
                <w:bCs w:val="false"/>
              </w:rPr>
              <w:t xml:space="preserve">= (Dt-Dp)/2 / tan(alpha)</w:t>
            </w:r>
          </w:p>
        </w:tc>
        <w:tc>
          <w:tcPr>
            <w:tcW w:type="dxa" w:w="3600"/>
            <w:tcMar>
              <w:top w:type="dxa" w:w="60"/>
              <w:left w:type="dxa" w:w="100"/>
              <w:bottom w:type="dxa" w:w="60"/>
              <w:right w:type="dxa" w:w="100"/>
            </w:tcMar>
          </w:tcPr>
          <w:p>
            <w:pPr>
              <w:jc w:val="left"/>
            </w:pPr>
            <w:r>
              <w:rPr>
                <w:b w:val="false"/>
                <w:bCs w:val="false"/>
              </w:rPr>
              <w:t xml:space="preserve">Cone axial length — DERIVED, do not hardcode</w:t>
            </w:r>
          </w:p>
        </w:tc>
        <w:tc>
          <w:tcPr>
            <w:tcW w:type="dxa" w:w="1700"/>
            <w:tcMar>
              <w:top w:type="dxa" w:w="60"/>
              <w:left w:type="dxa" w:w="100"/>
              <w:bottom w:type="dxa" w:w="60"/>
              <w:right w:type="dxa" w:w="100"/>
            </w:tcMar>
          </w:tcPr>
          <w:p>
            <w:pPr>
              <w:jc w:val="left"/>
            </w:pPr>
            <w:r>
              <w:rPr>
                <w:b w:val="false"/>
                <w:bCs w:val="false"/>
              </w:rPr>
              <w:t xml:space="preserve">= 6.87 mm</w:t>
            </w:r>
          </w:p>
        </w:tc>
      </w:tr>
      <w:tr>
        <w:tc>
          <w:tcPr>
            <w:tcW w:type="dxa" w:w="1600"/>
            <w:tcMar>
              <w:top w:type="dxa" w:w="60"/>
              <w:left w:type="dxa" w:w="100"/>
              <w:bottom w:type="dxa" w:w="60"/>
              <w:right w:type="dxa" w:w="100"/>
            </w:tcMar>
          </w:tcPr>
          <w:p>
            <w:pPr>
              <w:jc w:val="left"/>
            </w:pPr>
            <w:r>
              <w:rPr>
                <w:b w:val="false"/>
                <w:bCs w:val="false"/>
              </w:rPr>
              <w:t xml:space="preserve">Laod_max</w:t>
            </w:r>
          </w:p>
        </w:tc>
        <w:tc>
          <w:tcPr>
            <w:tcW w:type="dxa" w:w="2100"/>
            <w:tcMar>
              <w:top w:type="dxa" w:w="60"/>
              <w:left w:type="dxa" w:w="100"/>
              <w:bottom w:type="dxa" w:w="60"/>
              <w:right w:type="dxa" w:w="100"/>
            </w:tcMar>
          </w:tcPr>
          <w:p>
            <w:pPr>
              <w:jc w:val="left"/>
            </w:pPr>
            <w:r>
              <w:rPr>
                <w:b w:val="false"/>
                <w:bCs w:val="false"/>
              </w:rPr>
              <w:t xml:space="preserve">0.50 mm</w:t>
            </w:r>
          </w:p>
        </w:tc>
        <w:tc>
          <w:tcPr>
            <w:tcW w:type="dxa" w:w="3600"/>
            <w:tcMar>
              <w:top w:type="dxa" w:w="60"/>
              <w:left w:type="dxa" w:w="100"/>
              <w:bottom w:type="dxa" w:w="60"/>
              <w:right w:type="dxa" w:w="100"/>
            </w:tcMar>
          </w:tcPr>
          <w:p>
            <w:pPr>
              <w:jc w:val="left"/>
            </w:pPr>
            <w:r>
              <w:rPr>
                <w:b w:val="false"/>
                <w:bCs w:val="false"/>
              </w:rPr>
              <w:t xml:space="preserve">Max opening distance at 750N / O-F=4 design pt</w:t>
            </w:r>
          </w:p>
        </w:tc>
        <w:tc>
          <w:tcPr>
            <w:tcW w:type="dxa" w:w="1700"/>
            <w:tcMar>
              <w:top w:type="dxa" w:w="60"/>
              <w:left w:type="dxa" w:w="100"/>
              <w:bottom w:type="dxa" w:w="60"/>
              <w:right w:type="dxa" w:w="100"/>
            </w:tcMar>
          </w:tcPr>
          <w:p>
            <w:pPr>
              <w:jc w:val="left"/>
            </w:pPr>
            <w:r>
              <w:rPr>
                <w:b w:val="false"/>
                <w:bCs w:val="false"/>
              </w:rPr>
              <w:t xml:space="preserve">METU Table 2.3</w:t>
            </w:r>
          </w:p>
        </w:tc>
      </w:tr>
      <w:tr>
        <w:tc>
          <w:tcPr>
            <w:tcW w:type="dxa" w:w="1600"/>
            <w:tcMar>
              <w:top w:type="dxa" w:w="60"/>
              <w:left w:type="dxa" w:w="100"/>
              <w:bottom w:type="dxa" w:w="60"/>
              <w:right w:type="dxa" w:w="100"/>
            </w:tcMar>
          </w:tcPr>
          <w:p>
            <w:pPr>
              <w:jc w:val="left"/>
            </w:pPr>
            <w:r>
              <w:rPr>
                <w:b w:val="false"/>
                <w:bCs w:val="false"/>
              </w:rPr>
              <w:t xml:space="preserve">Laod_min</w:t>
            </w:r>
          </w:p>
        </w:tc>
        <w:tc>
          <w:tcPr>
            <w:tcW w:type="dxa" w:w="2100"/>
            <w:tcMar>
              <w:top w:type="dxa" w:w="60"/>
              <w:left w:type="dxa" w:w="100"/>
              <w:bottom w:type="dxa" w:w="60"/>
              <w:right w:type="dxa" w:w="100"/>
            </w:tcMar>
          </w:tcPr>
          <w:p>
            <w:pPr>
              <w:jc w:val="left"/>
            </w:pPr>
            <w:r>
              <w:rPr>
                <w:b w:val="false"/>
                <w:bCs w:val="false"/>
              </w:rPr>
              <w:t xml:space="preserve">0.00 mm</w:t>
            </w:r>
          </w:p>
        </w:tc>
        <w:tc>
          <w:tcPr>
            <w:tcW w:type="dxa" w:w="3600"/>
            <w:tcMar>
              <w:top w:type="dxa" w:w="60"/>
              <w:left w:type="dxa" w:w="100"/>
              <w:bottom w:type="dxa" w:w="60"/>
              <w:right w:type="dxa" w:w="100"/>
            </w:tcMar>
          </w:tcPr>
          <w:p>
            <w:pPr>
              <w:jc w:val="left"/>
            </w:pPr>
            <w:r>
              <w:rPr>
                <w:b w:val="false"/>
                <w:bCs w:val="false"/>
              </w:rPr>
              <w:t xml:space="preserve">Closed position</w:t>
            </w:r>
          </w:p>
        </w:tc>
        <w:tc>
          <w:tcPr>
            <w:tcW w:type="dxa" w:w="1700"/>
            <w:tcMar>
              <w:top w:type="dxa" w:w="60"/>
              <w:left w:type="dxa" w:w="100"/>
              <w:bottom w:type="dxa" w:w="60"/>
              <w:right w:type="dxa" w:w="100"/>
            </w:tcMar>
          </w:tcPr>
          <w:p>
            <w:pPr>
              <w:jc w:val="left"/>
            </w:pPr>
            <w:r>
              <w:rPr>
                <w:b w:val="false"/>
                <w:bCs w:val="false"/>
              </w:rPr>
              <w:t xml:space="preserve">—</w:t>
            </w:r>
          </w:p>
        </w:tc>
      </w:tr>
      <w:tr>
        <w:tc>
          <w:tcPr>
            <w:tcW w:type="dxa" w:w="1600"/>
            <w:tcMar>
              <w:top w:type="dxa" w:w="60"/>
              <w:left w:type="dxa" w:w="100"/>
              <w:bottom w:type="dxa" w:w="60"/>
              <w:right w:type="dxa" w:w="100"/>
            </w:tcMar>
          </w:tcPr>
          <w:p>
            <w:pPr>
              <w:jc w:val="left"/>
            </w:pPr>
            <w:r>
              <w:rPr>
                <w:b w:val="false"/>
                <w:bCs w:val="false"/>
              </w:rPr>
              <w:t xml:space="preserve">D_sleeve_tip</w:t>
            </w:r>
          </w:p>
        </w:tc>
        <w:tc>
          <w:tcPr>
            <w:tcW w:type="dxa" w:w="2100"/>
            <w:tcMar>
              <w:top w:type="dxa" w:w="60"/>
              <w:left w:type="dxa" w:w="100"/>
              <w:bottom w:type="dxa" w:w="60"/>
              <w:right w:type="dxa" w:w="100"/>
            </w:tcMar>
          </w:tcPr>
          <w:p>
            <w:pPr>
              <w:jc w:val="left"/>
            </w:pPr>
            <w:r>
              <w:rPr>
                <w:b w:val="false"/>
                <w:bCs w:val="false"/>
              </w:rPr>
              <w:t xml:space="preserve">= Dt + 2*tag</w:t>
            </w:r>
          </w:p>
        </w:tc>
        <w:tc>
          <w:tcPr>
            <w:tcW w:type="dxa" w:w="3600"/>
            <w:tcMar>
              <w:top w:type="dxa" w:w="60"/>
              <w:left w:type="dxa" w:w="100"/>
              <w:bottom w:type="dxa" w:w="60"/>
              <w:right w:type="dxa" w:w="100"/>
            </w:tcMar>
          </w:tcPr>
          <w:p>
            <w:pPr>
              <w:jc w:val="left"/>
            </w:pPr>
            <w:r>
              <w:rPr>
                <w:b w:val="false"/>
                <w:bCs w:val="false"/>
              </w:rPr>
              <w:t xml:space="preserve">Sleeve bore ID at tip zone</w:t>
            </w:r>
          </w:p>
        </w:tc>
        <w:tc>
          <w:tcPr>
            <w:tcW w:type="dxa" w:w="1700"/>
            <w:tcMar>
              <w:top w:type="dxa" w:w="60"/>
              <w:left w:type="dxa" w:w="100"/>
              <w:bottom w:type="dxa" w:w="60"/>
              <w:right w:type="dxa" w:w="100"/>
            </w:tcMar>
          </w:tcPr>
          <w:p>
            <w:pPr>
              <w:jc w:val="left"/>
            </w:pPr>
            <w:r>
              <w:rPr>
                <w:b w:val="false"/>
                <w:bCs w:val="false"/>
              </w:rPr>
              <w:t xml:space="preserve">Derived</w:t>
            </w:r>
          </w:p>
        </w:tc>
      </w:tr>
      <w:tr>
        <w:tc>
          <w:tcPr>
            <w:tcW w:type="dxa" w:w="1600"/>
            <w:tcMar>
              <w:top w:type="dxa" w:w="60"/>
              <w:left w:type="dxa" w:w="100"/>
              <w:bottom w:type="dxa" w:w="60"/>
              <w:right w:type="dxa" w:w="100"/>
            </w:tcMar>
          </w:tcPr>
          <w:p>
            <w:pPr>
              <w:jc w:val="left"/>
            </w:pPr>
            <w:r>
              <w:rPr>
                <w:b w:val="false"/>
                <w:bCs w:val="false"/>
              </w:rPr>
              <w:t xml:space="preserve">D_sleeve_shaft</w:t>
            </w:r>
          </w:p>
        </w:tc>
        <w:tc>
          <w:tcPr>
            <w:tcW w:type="dxa" w:w="2100"/>
            <w:tcMar>
              <w:top w:type="dxa" w:w="60"/>
              <w:left w:type="dxa" w:w="100"/>
              <w:bottom w:type="dxa" w:w="60"/>
              <w:right w:type="dxa" w:w="100"/>
            </w:tcMar>
          </w:tcPr>
          <w:p>
            <w:pPr>
              <w:jc w:val="left"/>
            </w:pPr>
            <w:r>
              <w:rPr>
                <w:b w:val="false"/>
                <w:bCs w:val="false"/>
              </w:rPr>
              <w:t xml:space="preserve">= Dp + 2*tpg</w:t>
            </w:r>
          </w:p>
        </w:tc>
        <w:tc>
          <w:tcPr>
            <w:tcW w:type="dxa" w:w="3600"/>
            <w:tcMar>
              <w:top w:type="dxa" w:w="60"/>
              <w:left w:type="dxa" w:w="100"/>
              <w:bottom w:type="dxa" w:w="60"/>
              <w:right w:type="dxa" w:w="100"/>
            </w:tcMar>
          </w:tcPr>
          <w:p>
            <w:pPr>
              <w:jc w:val="left"/>
            </w:pPr>
            <w:r>
              <w:rPr>
                <w:b w:val="false"/>
                <w:bCs w:val="false"/>
              </w:rPr>
              <w:t xml:space="preserve">Sleeve bore ID at shaft zone</w:t>
            </w:r>
          </w:p>
        </w:tc>
        <w:tc>
          <w:tcPr>
            <w:tcW w:type="dxa" w:w="1700"/>
            <w:tcMar>
              <w:top w:type="dxa" w:w="60"/>
              <w:left w:type="dxa" w:w="100"/>
              <w:bottom w:type="dxa" w:w="60"/>
              <w:right w:type="dxa" w:w="100"/>
            </w:tcMar>
          </w:tcPr>
          <w:p>
            <w:pPr>
              <w:jc w:val="left"/>
            </w:pPr>
            <w:r>
              <w:rPr>
                <w:b w:val="false"/>
                <w:bCs w:val="false"/>
              </w:rPr>
              <w:t xml:space="preserve">Derived</w:t>
            </w:r>
          </w:p>
        </w:tc>
      </w:tr>
      <w:tr>
        <w:tc>
          <w:tcPr>
            <w:tcW w:type="dxa" w:w="1600"/>
            <w:tcMar>
              <w:top w:type="dxa" w:w="60"/>
              <w:left w:type="dxa" w:w="100"/>
              <w:bottom w:type="dxa" w:w="60"/>
              <w:right w:type="dxa" w:w="100"/>
            </w:tcMar>
          </w:tcPr>
          <w:p>
            <w:pPr>
              <w:jc w:val="left"/>
            </w:pPr>
            <w:r>
              <w:rPr>
                <w:b w:val="false"/>
                <w:bCs w:val="false"/>
              </w:rPr>
              <w:t xml:space="preserve">R_spiral_start</w:t>
            </w:r>
          </w:p>
        </w:tc>
        <w:tc>
          <w:tcPr>
            <w:tcW w:type="dxa" w:w="2100"/>
            <w:tcMar>
              <w:top w:type="dxa" w:w="60"/>
              <w:left w:type="dxa" w:w="100"/>
              <w:bottom w:type="dxa" w:w="60"/>
              <w:right w:type="dxa" w:w="100"/>
            </w:tcMar>
          </w:tcPr>
          <w:p>
            <w:pPr>
              <w:jc w:val="left"/>
            </w:pPr>
            <w:r>
              <w:rPr>
                <w:b w:val="false"/>
                <w:bCs w:val="false"/>
              </w:rPr>
              <w:t xml:space="preserve">25.0 mm</w:t>
            </w:r>
          </w:p>
        </w:tc>
        <w:tc>
          <w:tcPr>
            <w:tcW w:type="dxa" w:w="3600"/>
            <w:tcMar>
              <w:top w:type="dxa" w:w="60"/>
              <w:left w:type="dxa" w:w="100"/>
              <w:bottom w:type="dxa" w:w="60"/>
              <w:right w:type="dxa" w:w="100"/>
            </w:tcMar>
          </w:tcPr>
          <w:p>
            <w:pPr>
              <w:jc w:val="left"/>
            </w:pPr>
            <w:r>
              <w:rPr>
                <w:b w:val="false"/>
                <w:bCs w:val="false"/>
              </w:rPr>
              <w:t xml:space="preserve">Spiral centerline radius at θ=0°</w:t>
            </w:r>
          </w:p>
        </w:tc>
        <w:tc>
          <w:tcPr>
            <w:tcW w:type="dxa" w:w="1700"/>
            <w:tcMar>
              <w:top w:type="dxa" w:w="60"/>
              <w:left w:type="dxa" w:w="100"/>
              <w:bottom w:type="dxa" w:w="60"/>
              <w:right w:type="dxa" w:w="100"/>
            </w:tcMar>
          </w:tcPr>
          <w:p>
            <w:pPr>
              <w:jc w:val="left"/>
            </w:pPr>
            <w:r>
              <w:rPr>
                <w:b w:val="false"/>
                <w:bCs w:val="false"/>
              </w:rPr>
              <w:t xml:space="preserve">Packaging — flag as placeholder</w:t>
            </w:r>
          </w:p>
        </w:tc>
      </w:tr>
      <w:tr>
        <w:tc>
          <w:tcPr>
            <w:tcW w:type="dxa" w:w="1600"/>
            <w:tcMar>
              <w:top w:type="dxa" w:w="60"/>
              <w:left w:type="dxa" w:w="100"/>
              <w:bottom w:type="dxa" w:w="60"/>
              <w:right w:type="dxa" w:w="100"/>
            </w:tcMar>
          </w:tcPr>
          <w:p>
            <w:pPr>
              <w:jc w:val="left"/>
            </w:pPr>
            <w:r>
              <w:rPr>
                <w:b w:val="false"/>
                <w:bCs w:val="false"/>
              </w:rPr>
              <w:t xml:space="preserve">R_spiral_end</w:t>
            </w:r>
          </w:p>
        </w:tc>
        <w:tc>
          <w:tcPr>
            <w:tcW w:type="dxa" w:w="2100"/>
            <w:tcMar>
              <w:top w:type="dxa" w:w="60"/>
              <w:left w:type="dxa" w:w="100"/>
              <w:bottom w:type="dxa" w:w="60"/>
              <w:right w:type="dxa" w:w="100"/>
            </w:tcMar>
          </w:tcPr>
          <w:p>
            <w:pPr>
              <w:jc w:val="left"/>
            </w:pPr>
            <w:r>
              <w:rPr>
                <w:b w:val="false"/>
                <w:bCs w:val="false"/>
              </w:rPr>
              <w:t xml:space="preserve">15.0 mm</w:t>
            </w:r>
          </w:p>
        </w:tc>
        <w:tc>
          <w:tcPr>
            <w:tcW w:type="dxa" w:w="3600"/>
            <w:tcMar>
              <w:top w:type="dxa" w:w="60"/>
              <w:left w:type="dxa" w:w="100"/>
              <w:bottom w:type="dxa" w:w="60"/>
              <w:right w:type="dxa" w:w="100"/>
            </w:tcMar>
          </w:tcPr>
          <w:p>
            <w:pPr>
              <w:jc w:val="left"/>
            </w:pPr>
            <w:r>
              <w:rPr>
                <w:b w:val="false"/>
                <w:bCs w:val="false"/>
              </w:rPr>
              <w:t xml:space="preserve">Spiral centerline radius at θ=360°</w:t>
            </w:r>
          </w:p>
        </w:tc>
        <w:tc>
          <w:tcPr>
            <w:tcW w:type="dxa" w:w="1700"/>
            <w:tcMar>
              <w:top w:type="dxa" w:w="60"/>
              <w:left w:type="dxa" w:w="100"/>
              <w:bottom w:type="dxa" w:w="60"/>
              <w:right w:type="dxa" w:w="100"/>
            </w:tcMar>
          </w:tcPr>
          <w:p>
            <w:pPr>
              <w:jc w:val="left"/>
            </w:pPr>
            <w:r>
              <w:rPr>
                <w:b w:val="false"/>
                <w:bCs w:val="false"/>
              </w:rPr>
              <w:t xml:space="preserve">Packaging — flag as placeholder</w:t>
            </w:r>
          </w:p>
        </w:tc>
      </w:tr>
      <w:tr>
        <w:tc>
          <w:tcPr>
            <w:tcW w:type="dxa" w:w="1600"/>
            <w:tcMar>
              <w:top w:type="dxa" w:w="60"/>
              <w:left w:type="dxa" w:w="100"/>
              <w:bottom w:type="dxa" w:w="60"/>
              <w:right w:type="dxa" w:w="100"/>
            </w:tcMar>
          </w:tcPr>
          <w:p>
            <w:pPr>
              <w:jc w:val="left"/>
            </w:pPr>
            <w:r>
              <w:rPr>
                <w:b w:val="false"/>
                <w:bCs w:val="false"/>
              </w:rPr>
              <w:t xml:space="preserve">A0</w:t>
            </w:r>
          </w:p>
        </w:tc>
        <w:tc>
          <w:tcPr>
            <w:tcW w:type="dxa" w:w="2100"/>
            <w:tcMar>
              <w:top w:type="dxa" w:w="60"/>
              <w:left w:type="dxa" w:w="100"/>
              <w:bottom w:type="dxa" w:w="60"/>
              <w:right w:type="dxa" w:w="100"/>
            </w:tcMar>
          </w:tcPr>
          <w:p>
            <w:pPr>
              <w:jc w:val="left"/>
            </w:pPr>
            <w:r>
              <w:rPr>
                <w:b w:val="false"/>
                <w:bCs w:val="false"/>
              </w:rPr>
              <w:t xml:space="preserve">12.0 mm²</w:t>
            </w:r>
          </w:p>
        </w:tc>
        <w:tc>
          <w:tcPr>
            <w:tcW w:type="dxa" w:w="3600"/>
            <w:tcMar>
              <w:top w:type="dxa" w:w="60"/>
              <w:left w:type="dxa" w:w="100"/>
              <w:bottom w:type="dxa" w:w="60"/>
              <w:right w:type="dxa" w:w="100"/>
            </w:tcMar>
          </w:tcPr>
          <w:p>
            <w:pPr>
              <w:jc w:val="left"/>
            </w:pPr>
            <w:r>
              <w:rPr>
                <w:b w:val="false"/>
                <w:bCs w:val="false"/>
              </w:rPr>
              <w:t xml:space="preserve">Spiral starting cross-section area</w:t>
            </w:r>
          </w:p>
        </w:tc>
        <w:tc>
          <w:tcPr>
            <w:tcW w:type="dxa" w:w="1700"/>
            <w:tcMar>
              <w:top w:type="dxa" w:w="60"/>
              <w:left w:type="dxa" w:w="100"/>
              <w:bottom w:type="dxa" w:w="60"/>
              <w:right w:type="dxa" w:w="100"/>
            </w:tcMar>
          </w:tcPr>
          <w:p>
            <w:pPr>
              <w:jc w:val="left"/>
            </w:pPr>
            <w:r>
              <w:rPr>
                <w:b w:val="false"/>
                <w:bCs w:val="false"/>
              </w:rPr>
              <w:t xml:space="preserve">MATLAB v2 script Sec.6</w:t>
            </w:r>
          </w:p>
        </w:tc>
      </w:tr>
      <w:tr>
        <w:tc>
          <w:tcPr>
            <w:tcW w:type="dxa" w:w="1600"/>
            <w:tcMar>
              <w:top w:type="dxa" w:w="60"/>
              <w:left w:type="dxa" w:w="100"/>
              <w:bottom w:type="dxa" w:w="60"/>
              <w:right w:type="dxa" w:w="100"/>
            </w:tcMar>
          </w:tcPr>
          <w:p>
            <w:pPr>
              <w:jc w:val="left"/>
            </w:pPr>
            <w:r>
              <w:rPr>
                <w:b w:val="false"/>
                <w:bCs w:val="false"/>
              </w:rPr>
              <w:t xml:space="preserve">A_min</w:t>
            </w:r>
          </w:p>
        </w:tc>
        <w:tc>
          <w:tcPr>
            <w:tcW w:type="dxa" w:w="2100"/>
            <w:tcMar>
              <w:top w:type="dxa" w:w="60"/>
              <w:left w:type="dxa" w:w="100"/>
              <w:bottom w:type="dxa" w:w="60"/>
              <w:right w:type="dxa" w:w="100"/>
            </w:tcMar>
          </w:tcPr>
          <w:p>
            <w:pPr>
              <w:jc w:val="left"/>
            </w:pPr>
            <w:r>
              <w:rPr>
                <w:b w:val="false"/>
                <w:bCs w:val="false"/>
              </w:rPr>
              <w:t xml:space="preserve">0.6 mm²</w:t>
            </w:r>
          </w:p>
        </w:tc>
        <w:tc>
          <w:tcPr>
            <w:tcW w:type="dxa" w:w="3600"/>
            <w:tcMar>
              <w:top w:type="dxa" w:w="60"/>
              <w:left w:type="dxa" w:w="100"/>
              <w:bottom w:type="dxa" w:w="60"/>
              <w:right w:type="dxa" w:w="100"/>
            </w:tcMar>
          </w:tcPr>
          <w:p>
            <w:pPr>
              <w:jc w:val="left"/>
            </w:pPr>
            <w:r>
              <w:rPr>
                <w:b w:val="false"/>
                <w:bCs w:val="false"/>
              </w:rPr>
              <w:t xml:space="preserve">5% floor area (avoids singularity)</w:t>
            </w:r>
          </w:p>
        </w:tc>
        <w:tc>
          <w:tcPr>
            <w:tcW w:type="dxa" w:w="1700"/>
            <w:tcMar>
              <w:top w:type="dxa" w:w="60"/>
              <w:left w:type="dxa" w:w="100"/>
              <w:bottom w:type="dxa" w:w="60"/>
              <w:right w:type="dxa" w:w="100"/>
            </w:tcMar>
          </w:tcPr>
          <w:p>
            <w:pPr>
              <w:jc w:val="left"/>
            </w:pPr>
            <w:r>
              <w:rPr>
                <w:b w:val="false"/>
                <w:bCs w:val="false"/>
              </w:rPr>
              <w:t xml:space="preserve">MATLAB v2 script Sec.6</w:t>
            </w:r>
          </w:p>
        </w:tc>
      </w:tr>
      <w:tr>
        <w:tc>
          <w:tcPr>
            <w:tcW w:type="dxa" w:w="1600"/>
            <w:tcMar>
              <w:top w:type="dxa" w:w="60"/>
              <w:left w:type="dxa" w:w="100"/>
              <w:bottom w:type="dxa" w:w="60"/>
              <w:right w:type="dxa" w:w="100"/>
            </w:tcMar>
          </w:tcPr>
          <w:p>
            <w:pPr>
              <w:jc w:val="left"/>
            </w:pPr>
            <w:r>
              <w:rPr>
                <w:b w:val="false"/>
                <w:bCs w:val="false"/>
              </w:rPr>
              <w:t xml:space="preserve">n_vanes</w:t>
            </w:r>
          </w:p>
        </w:tc>
        <w:tc>
          <w:tcPr>
            <w:tcW w:type="dxa" w:w="2100"/>
            <w:tcMar>
              <w:top w:type="dxa" w:w="60"/>
              <w:left w:type="dxa" w:w="100"/>
              <w:bottom w:type="dxa" w:w="60"/>
              <w:right w:type="dxa" w:w="100"/>
            </w:tcMar>
          </w:tcPr>
          <w:p>
            <w:pPr>
              <w:jc w:val="left"/>
            </w:pPr>
            <w:r>
              <w:rPr>
                <w:b w:val="false"/>
                <w:bCs w:val="false"/>
              </w:rPr>
              <w:t xml:space="preserve">12</w:t>
            </w:r>
          </w:p>
        </w:tc>
        <w:tc>
          <w:tcPr>
            <w:tcW w:type="dxa" w:w="3600"/>
            <w:tcMar>
              <w:top w:type="dxa" w:w="60"/>
              <w:left w:type="dxa" w:w="100"/>
              <w:bottom w:type="dxa" w:w="60"/>
              <w:right w:type="dxa" w:w="100"/>
            </w:tcMar>
          </w:tcPr>
          <w:p>
            <w:pPr>
              <w:jc w:val="left"/>
            </w:pPr>
            <w:r>
              <w:rPr>
                <w:b w:val="false"/>
                <w:bCs w:val="false"/>
              </w:rPr>
              <w:t xml:space="preserve">Turning vane count (baseline)</w:t>
            </w:r>
          </w:p>
        </w:tc>
        <w:tc>
          <w:tcPr>
            <w:tcW w:type="dxa" w:w="1700"/>
            <w:tcMar>
              <w:top w:type="dxa" w:w="60"/>
              <w:left w:type="dxa" w:w="100"/>
              <w:bottom w:type="dxa" w:w="60"/>
              <w:right w:type="dxa" w:w="100"/>
            </w:tcMar>
          </w:tcPr>
          <w:p>
            <w:pPr>
              <w:jc w:val="left"/>
            </w:pPr>
            <w:r>
              <w:rPr>
                <w:b w:val="false"/>
                <w:bCs w:val="false"/>
              </w:rPr>
              <w:t xml:space="preserve">Sensitivity sweep midpoint</w:t>
            </w:r>
          </w:p>
        </w:tc>
      </w:tr>
      <w:tr>
        <w:tc>
          <w:tcPr>
            <w:tcW w:type="dxa" w:w="1600"/>
            <w:tcMar>
              <w:top w:type="dxa" w:w="60"/>
              <w:left w:type="dxa" w:w="100"/>
              <w:bottom w:type="dxa" w:w="60"/>
              <w:right w:type="dxa" w:w="100"/>
            </w:tcMar>
          </w:tcPr>
          <w:p>
            <w:pPr>
              <w:jc w:val="left"/>
            </w:pPr>
            <w:r>
              <w:rPr>
                <w:b w:val="false"/>
                <w:bCs w:val="false"/>
              </w:rPr>
              <w:t xml:space="preserve">channel_h</w:t>
            </w:r>
          </w:p>
        </w:tc>
        <w:tc>
          <w:tcPr>
            <w:tcW w:type="dxa" w:w="2100"/>
            <w:tcMar>
              <w:top w:type="dxa" w:w="60"/>
              <w:left w:type="dxa" w:w="100"/>
              <w:bottom w:type="dxa" w:w="60"/>
              <w:right w:type="dxa" w:w="100"/>
            </w:tcMar>
          </w:tcPr>
          <w:p>
            <w:pPr>
              <w:jc w:val="left"/>
            </w:pPr>
            <w:r>
              <w:rPr>
                <w:b w:val="false"/>
                <w:bCs w:val="false"/>
              </w:rPr>
              <w:t xml:space="preserve">5.0 mm</w:t>
            </w:r>
          </w:p>
        </w:tc>
        <w:tc>
          <w:tcPr>
            <w:tcW w:type="dxa" w:w="3600"/>
            <w:tcMar>
              <w:top w:type="dxa" w:w="60"/>
              <w:left w:type="dxa" w:w="100"/>
              <w:bottom w:type="dxa" w:w="60"/>
              <w:right w:type="dxa" w:w="100"/>
            </w:tcMar>
          </w:tcPr>
          <w:p>
            <w:pPr>
              <w:jc w:val="left"/>
            </w:pPr>
            <w:r>
              <w:rPr>
                <w:b w:val="false"/>
                <w:bCs w:val="false"/>
              </w:rPr>
              <w:t xml:space="preserve">Spiral channel height</w:t>
            </w:r>
          </w:p>
        </w:tc>
        <w:tc>
          <w:tcPr>
            <w:tcW w:type="dxa" w:w="1700"/>
            <w:tcMar>
              <w:top w:type="dxa" w:w="60"/>
              <w:left w:type="dxa" w:w="100"/>
              <w:bottom w:type="dxa" w:w="60"/>
              <w:right w:type="dxa" w:w="100"/>
            </w:tcMar>
          </w:tcPr>
          <w:p>
            <w:pPr>
              <w:jc w:val="left"/>
            </w:pPr>
            <w:r>
              <w:rPr>
                <w:b w:val="false"/>
                <w:bCs w:val="false"/>
              </w:rPr>
              <w:t xml:space="preserve">Scale-effect check, δ/h &lt; 0.3</w:t>
            </w:r>
          </w:p>
        </w:tc>
      </w:tr>
    </w:tbl>
    <w:p>
      <w:pPr>
        <w:pBdr>
          <w:left w:val="single" w:color="1a5276" w:sz="18" w:space="8"/>
        </w:pBdr>
        <w:shd w:fill="eef2f5" w:val="clear"/>
        <w:spacing w:after="140" w:before="80"/>
        <w:ind w:left="200"/>
      </w:pPr>
      <w:r>
        <w:rPr>
          <w:b/>
          <w:bCs/>
          <w:color w:val="1a5276"/>
        </w:rPr>
        <w:t xml:space="preserve">NOTE — </w:t>
      </w:r>
      <w:r>
        <w:t xml:space="preserve">R_spiral_start / R_spiral_end are flagged in the project's own review log as unjustified placeholders — set them from your actual injector-body envelope and packaging constraints before finalizing PI-003, not after. Everything downstream (loft path, body OD, tongue location) depends on these two numbers.</w:t>
      </w:r>
    </w:p>
    <w:p>
      <w:pPr>
        <w:pStyle w:val="Heading2"/>
        <w:spacing w:after="120" w:before="240"/>
      </w:pPr>
      <w:r>
        <w:t xml:space="preserve">1.3 Why equations before geometry</w:t>
      </w:r>
    </w:p>
    <w:p>
      <w:pPr>
        <w:pStyle w:val="ListParagraph"/>
        <w:numPr>
          <w:ilvl w:val="0"/>
          <w:numId w:val="1"/>
        </w:numPr>
        <w:spacing w:after="60"/>
      </w:pPr>
      <w:r>
        <w:rPr>
          <w:b w:val="false"/>
          <w:bCs w:val="false"/>
        </w:rPr>
        <w:t xml:space="preserve">Changing tag (throttle gap) later updates the sleeve bore, the body clearance, and the drawing sheet in one edit — no hunting through sketches.</w:t>
      </w:r>
    </w:p>
    <w:p>
      <w:pPr>
        <w:pStyle w:val="ListParagraph"/>
        <w:numPr>
          <w:ilvl w:val="0"/>
          <w:numId w:val="1"/>
        </w:numPr>
        <w:spacing w:after="60"/>
      </w:pPr>
      <w:r>
        <w:rPr>
          <w:b w:val="false"/>
          <w:bCs w:val="false"/>
        </w:rPr>
        <w:t xml:space="preserve">The spiral loft (PI-003) and the equivalent-area baseline torus (PI-003B) can both reference A0 directly, keeping the two manifolds a fair comparison by construction, not by manual re-entry.</w:t>
      </w:r>
    </w:p>
    <w:p>
      <w:pPr>
        <w:pStyle w:val="ListParagraph"/>
        <w:numPr>
          <w:ilvl w:val="0"/>
          <w:numId w:val="1"/>
        </w:numPr>
        <w:spacing w:after="60"/>
      </w:pPr>
      <w:r>
        <w:rPr>
          <w:b w:val="false"/>
          <w:bCs w:val="false"/>
        </w:rPr>
        <w:t xml:space="preserve">Configurations / Design Tables (Section 11) drive Laod through this same variable set, so throttle-position drawings stay correct automatically.</w:t>
      </w:r>
    </w:p>
    <w:p>
      <w:r>
        <w:br w:type="page"/>
      </w:r>
    </w:p>
    <w:p>
      <w:pPr>
        <w:pStyle w:val="Heading1"/>
        <w:spacing w:after="160" w:before="320"/>
      </w:pPr>
      <w:r>
        <w:t xml:space="preserve">2. Part: Pintle Rod &amp; Tip (PI-001)</w:t>
      </w:r>
    </w:p>
    <w:p>
      <w:pPr>
        <w:spacing w:after="140"/>
      </w:pPr>
      <w:r>
        <w:rPr>
          <w:i/>
          <w:iCs/>
        </w:rPr>
        <w:t xml:space="preserve">Companion drawing: </w:t>
      </w:r>
      <w:r>
        <w:rPr>
          <w:b/>
          <w:bCs/>
          <w:i/>
          <w:iCs/>
          <w:color w:val="1a5276"/>
        </w:rPr>
        <w:t xml:space="preserve">Sheet 1 of 8</w:t>
      </w:r>
    </w:p>
    <w:p>
      <w:pPr>
        <w:pStyle w:val="Heading2"/>
        <w:spacing w:after="120" w:before="240"/>
      </w:pPr>
      <w:r>
        <w:t xml:space="preserve">2.1 What it does</w:t>
      </w:r>
    </w:p>
    <w:p>
      <w:pPr>
        <w:spacing w:after="140"/>
      </w:pPr>
      <w:r>
        <w:t xml:space="preserve">Central hollow rod carrying LOX down the axis; the conical tip turns that flow from axial to radial at the exit, forming the oxidizer sheet that impinges with the fuel sheet coming off the sleeve/manifold.</w:t>
      </w:r>
    </w:p>
    <w:p>
      <w:pPr>
        <w:pStyle w:val="Heading2"/>
        <w:spacing w:after="120" w:before="240"/>
      </w:pPr>
      <w:r>
        <w:t xml:space="preserve">2.2 Build order</w:t>
      </w:r>
    </w:p>
    <w:p>
      <w:pPr>
        <w:pStyle w:val="ListParagraph"/>
        <w:numPr>
          <w:ilvl w:val="0"/>
          <w:numId w:val="3"/>
        </w:numPr>
        <w:spacing w:after="60"/>
      </w:pPr>
      <w:r>
        <w:t xml:space="preserve">Sketch (Front Plane, on centerline): a single line profile of the rod cross-section — shaft radius Dp/2 for the shaft length, then a line at angle ‘alpha’ out to Dt/2 (use a dimension driven by the equation, not a typed angle, so it tracks ‘alpha’), then a short flat at Dt/2 for length ‘tt’.</w:t>
      </w:r>
    </w:p>
    <w:p>
      <w:pPr>
        <w:pStyle w:val="ListParagraph"/>
        <w:numPr>
          <w:ilvl w:val="0"/>
          <w:numId w:val="3"/>
        </w:numPr>
        <w:spacing w:after="60"/>
      </w:pPr>
      <w:r>
        <w:t xml:space="preserve">Revolve Boss/Base about the centerline → solid rod+cone+tip-land in one feature.</w:t>
      </w:r>
    </w:p>
    <w:p>
      <w:pPr>
        <w:pStyle w:val="ListParagraph"/>
        <w:numPr>
          <w:ilvl w:val="0"/>
          <w:numId w:val="3"/>
        </w:numPr>
        <w:spacing w:after="60"/>
      </w:pPr>
      <w:r>
        <w:t xml:space="preserve">Sketch a circle of diameter 1.5 mm (tie to an equation, e.g. ‘D_bore = Dp - 2*0.75’) on the tail face.</w:t>
      </w:r>
    </w:p>
    <w:p>
      <w:pPr>
        <w:pStyle w:val="ListParagraph"/>
        <w:numPr>
          <w:ilvl w:val="0"/>
          <w:numId w:val="3"/>
        </w:numPr>
        <w:spacing w:after="60"/>
      </w:pPr>
      <w:r>
        <w:t xml:space="preserve">Cut-Extrude ‘Up To Surface’ or a blind depth that stops 0.5 mm short of the tip-land front face — this creates the hollow LOX bore while keeping the tip solid/capped.</w:t>
      </w:r>
    </w:p>
    <w:p>
      <w:pPr>
        <w:pStyle w:val="ListParagraph"/>
        <w:numPr>
          <w:ilvl w:val="0"/>
          <w:numId w:val="3"/>
        </w:numPr>
        <w:spacing w:after="60"/>
      </w:pPr>
      <w:r>
        <w:t xml:space="preserve">Sketch the radial LOX exit as a thin revolved-cut groove (0.3 mm wide × 0.6 mm deep) near the front edge of the tip land. Revolved Cut, 360°, using the centerline.</w:t>
      </w:r>
    </w:p>
    <w:p>
      <w:pPr>
        <w:pStyle w:val="ListParagraph"/>
        <w:numPr>
          <w:ilvl w:val="0"/>
          <w:numId w:val="3"/>
        </w:numPr>
        <w:spacing w:after="60"/>
      </w:pPr>
      <w:r>
        <w:t xml:space="preserve">ALTERNATE (slotted tip): instead of step 5, sketch a single small hole (~Ø0.8 mm) radially through the tip land wall, then Circular Pattern it (12×, 360°, equal spacing) about the centerline axis — this is the “shadow angle / slotted tip” option mentioned in the project's parts list. Keep whichever option you choose consistent with your CFD/atomization assumptions (continuous slot = fully axisymmetric; discrete holes = periodic, cheaper to machine).</w:t>
      </w:r>
    </w:p>
    <w:p>
      <w:pPr>
        <w:pStyle w:val="ListParagraph"/>
        <w:numPr>
          <w:ilvl w:val="0"/>
          <w:numId w:val="3"/>
        </w:numPr>
        <w:spacing w:after="60"/>
      </w:pPr>
      <w:r>
        <w:t xml:space="preserve">Cosmetic thread (or actual Cut-Thread if you want it to render correctly in section views) on the 3 mm tail shaft: M3×0.5, 6 mm engagement, for the Actuator Coupling (PI-008).</w:t>
      </w:r>
    </w:p>
    <w:p>
      <w:pPr>
        <w:pStyle w:val="ListParagraph"/>
        <w:numPr>
          <w:ilvl w:val="0"/>
          <w:numId w:val="3"/>
        </w:numPr>
        <w:spacing w:after="60"/>
      </w:pPr>
      <w:r>
        <w:t xml:space="preserve">Cut two shallow O-ring grooves (Extruded Cut, 2.0 mm wide × 0.3 mm deep, revolved) on the shaft where it passes through the guide bushings / dynamic seal in the Faceplate.</w:t>
      </w:r>
    </w:p>
    <w:p>
      <w:pPr>
        <w:pStyle w:val="ListParagraph"/>
        <w:numPr>
          <w:ilvl w:val="0"/>
          <w:numId w:val="3"/>
        </w:numPr>
        <w:spacing w:after="60"/>
      </w:pPr>
      <w:r>
        <w:t xml:space="preserve">Fillet the cone-to-shaft root (R0.3 min) and the cone-to-tip-land corner — sharp internal corners here are stress risers on a part that sees repeated thermal/pressure cycling.</w:t>
      </w:r>
    </w:p>
    <w:p>
      <w:pPr>
        <w:pStyle w:val="ListParagraph"/>
        <w:numPr>
          <w:ilvl w:val="0"/>
          <w:numId w:val="3"/>
        </w:numPr>
        <w:spacing w:after="60"/>
      </w:pPr>
      <w:r>
        <w:t xml:space="preserve">Add a Sensor (right-click FeatureManager top → Sensors → Add Sensor → Dimension) on the bore wall thickness, flagged if it drops below your minimum machinable/printable wall.</w:t>
      </w:r>
    </w:p>
    <w:p>
      <w:pPr>
        <w:pBdr>
          <w:left w:val="single" w:color="1a5276" w:sz="18" w:space="8"/>
        </w:pBdr>
        <w:shd w:fill="eef2f5" w:val="clear"/>
        <w:spacing w:after="140" w:before="80"/>
        <w:ind w:left="200"/>
      </w:pPr>
      <w:r>
        <w:rPr>
          <w:b/>
          <w:bCs/>
          <w:color w:val="1a5276"/>
        </w:rPr>
        <w:t xml:space="preserve">NOTE — </w:t>
      </w:r>
      <w:r>
        <w:t xml:space="preserve">Tie every dimension used above to the global equations (Dp, Dt, alpha, tt) via the Equations manager, not by typing numbers into each sketch. This is what makes the “family of positions” assembly drawing in Section 12 possible without re-modeling.</w:t>
      </w:r>
    </w:p>
    <w:p>
      <w:r>
        <w:br w:type="page"/>
      </w:r>
    </w:p>
    <w:p>
      <w:pPr>
        <w:pStyle w:val="Heading1"/>
        <w:spacing w:after="160" w:before="320"/>
      </w:pPr>
      <w:r>
        <w:t xml:space="preserve">3. Part: Pintle Sleeve / Tip Ring (PI-002)</w:t>
      </w:r>
    </w:p>
    <w:p>
      <w:pPr>
        <w:spacing w:after="140"/>
      </w:pPr>
      <w:r>
        <w:rPr>
          <w:i/>
          <w:iCs/>
        </w:rPr>
        <w:t xml:space="preserve">Companion drawing: </w:t>
      </w:r>
      <w:r>
        <w:rPr>
          <w:b/>
          <w:bCs/>
          <w:i/>
          <w:iCs/>
          <w:color w:val="1a5276"/>
        </w:rPr>
        <w:t xml:space="preserve">Sheet 2 of 8</w:t>
      </w:r>
    </w:p>
    <w:p>
      <w:pPr>
        <w:pStyle w:val="Heading2"/>
        <w:spacing w:after="120" w:before="240"/>
      </w:pPr>
      <w:r>
        <w:t xml:space="preserve">3.1 What it does</w:t>
      </w:r>
    </w:p>
    <w:p>
      <w:pPr>
        <w:spacing w:after="140"/>
      </w:pPr>
      <w:r>
        <w:t xml:space="preserve">Fixed ring that forms the OUTER boundary of the fuel-side flow: a small-ID bore over most of its length (the ‘tpg’ upstream annulus) that steps up to a larger-ID bore right at the tip (the ‘tag’ annular exit gap around the pintle's tip land). The pintle rod slides through it during throttling.</w:t>
      </w:r>
    </w:p>
    <w:p>
      <w:pPr>
        <w:pStyle w:val="Heading2"/>
        <w:spacing w:after="120" w:before="240"/>
      </w:pPr>
      <w:r>
        <w:t xml:space="preserve">3.2 Build order</w:t>
      </w:r>
    </w:p>
    <w:p>
      <w:pPr>
        <w:pStyle w:val="ListParagraph"/>
        <w:numPr>
          <w:ilvl w:val="0"/>
          <w:numId w:val="4"/>
        </w:numPr>
        <w:spacing w:after="60"/>
      </w:pPr>
      <w:r>
        <w:t xml:space="preserve">Sketch (Front Plane) a stepped bore profile: radius D_sleeve_tip/2 for 4.0 mm (tip zone), then a step down to D_sleeve_shaft/2 for the remaining length — both radii driven by the equations you already defined (Dt+2*tag and Dp+2*tpg), never typed as raw numbers.</w:t>
      </w:r>
    </w:p>
    <w:p>
      <w:pPr>
        <w:pStyle w:val="ListParagraph"/>
        <w:numPr>
          <w:ilvl w:val="0"/>
          <w:numId w:val="4"/>
        </w:numPr>
        <w:spacing w:after="60"/>
      </w:pPr>
      <w:r>
        <w:t xml:space="preserve">On the same sketch, add the OD profile: constant 15.0 mm register OD along the body, stepping out to a 20.0 mm mounting flange near the upstream (fuel-inlet) end.</w:t>
      </w:r>
    </w:p>
    <w:p>
      <w:pPr>
        <w:pStyle w:val="ListParagraph"/>
        <w:numPr>
          <w:ilvl w:val="0"/>
          <w:numId w:val="4"/>
        </w:numPr>
        <w:spacing w:after="60"/>
      </w:pPr>
      <w:r>
        <w:t xml:space="preserve">Revolve Boss/Base once with both profiles closed into a single sketch — SolidWorks handles the stepped ID/OD correctly as one revolve as long as the sketch is a single closed loop.</w:t>
      </w:r>
    </w:p>
    <w:p>
      <w:pPr>
        <w:pStyle w:val="ListParagraph"/>
        <w:numPr>
          <w:ilvl w:val="0"/>
          <w:numId w:val="4"/>
        </w:numPr>
        <w:spacing w:after="60"/>
      </w:pPr>
      <w:r>
        <w:t xml:space="preserve">Cut an O-ring groove (1.8 mm wide × 1.2 mm deep, revolved cut) on the flange face that seats against the Outer Body manifold (PI-003 / PI-003B).</w:t>
      </w:r>
    </w:p>
    <w:p>
      <w:pPr>
        <w:pStyle w:val="ListParagraph"/>
        <w:numPr>
          <w:ilvl w:val="0"/>
          <w:numId w:val="4"/>
        </w:numPr>
        <w:spacing w:after="60"/>
      </w:pPr>
      <w:r>
        <w:t xml:space="preserve">Add 6× clearance holes (Ø4.5) on the flange, Circular Pattern about the centerline, matching the Faceplate's bolt circle (defined in Part 6) — use the SAME equation for bolt-circle diameter in both parts so they can never drift apart.</w:t>
      </w:r>
    </w:p>
    <w:p>
      <w:pPr>
        <w:pStyle w:val="ListParagraph"/>
        <w:numPr>
          <w:ilvl w:val="0"/>
          <w:numId w:val="4"/>
        </w:numPr>
        <w:spacing w:after="60"/>
      </w:pPr>
      <w:r>
        <w:t xml:space="preserve">ADVANCED (optional, higher fidelity): replace the stepped tip-zone bore with a bore that follows the pintle's 20° cone at a constant radial offset ‘tag’, using a Loft or a swept-cut with a tapered guide curve. This keeps the annular gap truly constant through the cone region instead of only at the flat tip-land — worth doing once the straight-bore version is validated in CFD and you want to refine.</w:t>
      </w:r>
    </w:p>
    <w:p>
      <w:pPr>
        <w:pBdr>
          <w:left w:val="single" w:color="1a5276" w:sz="18" w:space="8"/>
        </w:pBdr>
        <w:shd w:fill="eef2f5" w:val="clear"/>
        <w:spacing w:after="140" w:before="80"/>
        <w:ind w:left="200"/>
      </w:pPr>
      <w:r>
        <w:rPr>
          <w:b/>
          <w:bCs/>
          <w:color w:val="1a5276"/>
        </w:rPr>
        <w:t xml:space="preserve">NOTE — </w:t>
      </w:r>
      <w:r>
        <w:t xml:space="preserve">The straight-cylinder bore is a deliberate first-pass simplification (same spirit as the MATLAB script's thin-annulus approximation) — flag it as such in your documentation rather than presenting it as an exact match to the cone, consistent with how the project's own notes treat borrowed/simplified geometry.</w:t>
      </w:r>
    </w:p>
    <w:p>
      <w:r>
        <w:br w:type="page"/>
      </w:r>
    </w:p>
    <w:p>
      <w:pPr>
        <w:pStyle w:val="Heading1"/>
        <w:spacing w:after="160" w:before="320"/>
      </w:pPr>
      <w:r>
        <w:t xml:space="preserve">4. Part: Outer Body — Spiral + Vane Manifold (PI-003)</w:t>
      </w:r>
    </w:p>
    <w:p>
      <w:pPr>
        <w:spacing w:after="140"/>
      </w:pPr>
      <w:r>
        <w:rPr>
          <w:i/>
          <w:iCs/>
        </w:rPr>
        <w:t xml:space="preserve">Companion drawing: </w:t>
      </w:r>
      <w:r>
        <w:rPr>
          <w:b/>
          <w:bCs/>
          <w:i/>
          <w:iCs/>
          <w:color w:val="1a5276"/>
        </w:rPr>
        <w:t xml:space="preserve">Sheet 3 of 8</w:t>
      </w:r>
    </w:p>
    <w:p>
      <w:pPr>
        <w:pStyle w:val="Heading2"/>
        <w:spacing w:after="120" w:before="240"/>
      </w:pPr>
      <w:r>
        <w:t xml:space="preserve">4.1 What it does</w:t>
      </w:r>
    </w:p>
    <w:p>
      <w:pPr>
        <w:spacing w:after="140"/>
      </w:pPr>
      <w:r>
        <w:t xml:space="preserve">The novel part of the project: a fuel manifold cavity that spirals 360° around the pintle sleeve, continuously tapering in cross-section (per mass conservation, A(θ) ∝ remaining flow) so that velocity — and therefore delivery to the annular gap — stays uniform all the way around, rather than dumping everything from one lopsided side inlet. Small turning vanes at the inner boundary kill the residual tangential (swirl) velocity right before the flow turns into the axial annular gap.</w:t>
      </w:r>
    </w:p>
    <w:p>
      <w:pPr>
        <w:pStyle w:val="Heading2"/>
        <w:spacing w:after="120" w:before="240"/>
      </w:pPr>
      <w:r>
        <w:t xml:space="preserve">4.2 Why this can't be built with a simple Revolve</w:t>
      </w:r>
    </w:p>
    <w:p>
      <w:pPr>
        <w:spacing w:after="140"/>
      </w:pPr>
      <w:r>
        <w:t xml:space="preserve">A spiral with a shrinking cross-section is a 3D space curve (the centerline path) with a variable-size profile swept along it — SolidWorks' native tools for this are the Helix/Spiral curve (for the path) and Loft with Guide Curves (for the shrinking cross-section), not Revolve or a simple Sweep.</w:t>
      </w:r>
    </w:p>
    <w:p>
      <w:pPr>
        <w:pStyle w:val="Heading2"/>
        <w:spacing w:after="120" w:before="240"/>
      </w:pPr>
      <w:r>
        <w:t xml:space="preserve">4.3 Build order</w:t>
      </w:r>
    </w:p>
    <w:p>
      <w:pPr>
        <w:pStyle w:val="ListParagraph"/>
        <w:numPr>
          <w:ilvl w:val="0"/>
          <w:numId w:val="5"/>
        </w:numPr>
        <w:spacing w:after="60"/>
      </w:pPr>
      <w:r>
        <w:t xml:space="preserve">Start with a solid cylindrical body blank: Revolve or Extrude a disc, OD ≈ (R_spiral_start + wall) × 2, thickness ≈ channel_h + 2×wall (≈ 16 mm). This is the stock you'll cut the spiral cavity from.</w:t>
      </w:r>
    </w:p>
    <w:p>
      <w:pPr>
        <w:pStyle w:val="ListParagraph"/>
        <w:numPr>
          <w:ilvl w:val="0"/>
          <w:numId w:val="5"/>
        </w:numPr>
        <w:spacing w:after="60"/>
      </w:pPr>
      <w:r>
        <w:t xml:space="preserve">Insert → Curve → Helix/Spiral. On a sketch circle of radius R_spiral_start, choose ‘Spiral’ mode, set it to end at radius R_spiral_end over exactly 1 revolution (360°), constant pitch not required — this generates the 3D centerline path r(θ) directly from your two equation-driven radii.</w:t>
      </w:r>
    </w:p>
    <w:p>
      <w:pPr>
        <w:pStyle w:val="ListParagraph"/>
        <w:numPr>
          <w:ilvl w:val="0"/>
          <w:numId w:val="5"/>
        </w:numPr>
        <w:spacing w:after="60"/>
      </w:pPr>
      <w:r>
        <w:t xml:space="preserve">Create 5–10 reference planes normal to this spiral curve at even θ intervals (Insert → Reference Geometry → Plane → ‘Normal to Curve’ at a chosen point/percentage along the curve).</w:t>
      </w:r>
    </w:p>
    <w:p>
      <w:pPr>
        <w:pStyle w:val="ListParagraph"/>
        <w:numPr>
          <w:ilvl w:val="0"/>
          <w:numId w:val="5"/>
        </w:numPr>
        <w:spacing w:after="60"/>
      </w:pPr>
      <w:r>
        <w:t xml:space="preserve">On each plane, sketch a circle centered on the spiral curve, with diameter d(θ) = 2·√(A(θ)/π), where A(θ) = A0 − (A0−A_min)·(θ/360°). Drive each circle's diameter by an equation referencing its own θ value — don't eyeball the taper.</w:t>
      </w:r>
    </w:p>
    <w:p>
      <w:pPr>
        <w:pStyle w:val="ListParagraph"/>
        <w:numPr>
          <w:ilvl w:val="0"/>
          <w:numId w:val="5"/>
        </w:numPr>
        <w:spacing w:after="60"/>
      </w:pPr>
      <w:r>
        <w:t xml:space="preserve">Loft Boss/Base through all the profile circles, using the spiral curve itself as a Guide Curve so the loft follows the path exactly rather than interpolating a straight line between profiles.</w:t>
      </w:r>
    </w:p>
    <w:p>
      <w:pPr>
        <w:pStyle w:val="ListParagraph"/>
        <w:numPr>
          <w:ilvl w:val="0"/>
          <w:numId w:val="5"/>
        </w:numPr>
        <w:spacing w:after="60"/>
      </w:pPr>
      <w:r>
        <w:t xml:space="preserve">Boolean-subtract: Combine (Subtract) the lofted spiral solid from the cylindrical body blank, leaving the spiral cavity as a void inside the body.</w:t>
      </w:r>
    </w:p>
    <w:p>
      <w:pPr>
        <w:pStyle w:val="ListParagraph"/>
        <w:numPr>
          <w:ilvl w:val="0"/>
          <w:numId w:val="5"/>
        </w:numPr>
        <w:spacing w:after="60"/>
      </w:pPr>
      <w:r>
        <w:t xml:space="preserve">Model the tongue wall: a thin (0.5–1.0 mm) solid wall separating the finished spiral (inner, r=R_spiral_end) from the fresh incoming flow (outer, r=R_spiral_start) where the two ends meet after the full wrap. Sketch and Extruded Boss it directly, or leave uncut material between the loft's start and end profiles if your loft naturally leaves a gap there.</w:t>
      </w:r>
    </w:p>
    <w:p>
      <w:pPr>
        <w:pStyle w:val="ListParagraph"/>
        <w:numPr>
          <w:ilvl w:val="0"/>
          <w:numId w:val="5"/>
        </w:numPr>
        <w:spacing w:after="60"/>
      </w:pPr>
      <w:r>
        <w:t xml:space="preserve">Cut the central sleeve bore (Ø15.0, matching PI-002's OD) straight through the body on the main axis — simple Extruded Cut.</w:t>
      </w:r>
    </w:p>
    <w:p>
      <w:pPr>
        <w:pStyle w:val="ListParagraph"/>
        <w:numPr>
          <w:ilvl w:val="0"/>
          <w:numId w:val="5"/>
        </w:numPr>
        <w:spacing w:after="60"/>
      </w:pPr>
      <w:r>
        <w:t xml:space="preserve">Model the tangential inlet port: a cylindrical boss (Extruded Boss, Ø3.9 mm bore matching d0) tangent to the spiral's starting circle at θ=0°, sized/threaded to your chosen supply fitting.</w:t>
      </w:r>
    </w:p>
    <w:p>
      <w:pPr>
        <w:pStyle w:val="ListParagraph"/>
        <w:numPr>
          <w:ilvl w:val="0"/>
          <w:numId w:val="5"/>
        </w:numPr>
        <w:spacing w:after="60"/>
      </w:pPr>
      <w:r>
        <w:t xml:space="preserve">Model ONE turning vane as a cut or separate body at the spiral's inner boundary (see Part 5, PI-005) — then either import it as a library feature and Circular Pattern it (12×, 30° spacing) directly in this part, or keep vanes as a separate assembled part and pattern them at the assembly level.</w:t>
      </w:r>
    </w:p>
    <w:p>
      <w:pPr>
        <w:pStyle w:val="ListParagraph"/>
        <w:numPr>
          <w:ilvl w:val="0"/>
          <w:numId w:val="5"/>
        </w:numPr>
        <w:spacing w:after="60"/>
      </w:pPr>
      <w:r>
        <w:t xml:space="preserve">Add the 6× bolt-clearance holes on the manifold face, matching the Faceplate/Sleeve bolt circle (same shared equation as Part 3).</w:t>
      </w:r>
    </w:p>
    <w:p>
      <w:pPr>
        <w:pStyle w:val="Heading2"/>
        <w:spacing w:after="120" w:before="240"/>
      </w:pPr>
      <w:r>
        <w:t xml:space="preserve">4.4 Verifying the loft did what the math says</w:t>
      </w:r>
    </w:p>
    <w:p>
      <w:pPr>
        <w:pStyle w:val="ListParagraph"/>
        <w:numPr>
          <w:ilvl w:val="0"/>
          <w:numId w:val="1"/>
        </w:numPr>
        <w:spacing w:after="60"/>
      </w:pPr>
      <w:r>
        <w:rPr>
          <w:b w:val="false"/>
          <w:bCs w:val="false"/>
        </w:rPr>
        <w:t xml:space="preserve">Use Tools → Section Properties or a simple Section View at several θ cuts and compare the measured cross-section area against A(θ) from your equation — spot-check at least 0°, 90°, 180°, 270°, 355°.</w:t>
      </w:r>
    </w:p>
    <w:p>
      <w:pPr>
        <w:pStyle w:val="ListParagraph"/>
        <w:numPr>
          <w:ilvl w:val="0"/>
          <w:numId w:val="1"/>
        </w:numPr>
        <w:spacing w:after="60"/>
      </w:pPr>
      <w:r>
        <w:rPr>
          <w:b w:val="false"/>
          <w:bCs w:val="false"/>
        </w:rPr>
        <w:t xml:space="preserve">Check the loft didn't self-intersect near θ=360° where the channel gets very small (d_min ≈ 0.87 mm) — this is exactly the singularity the 5% area floor exists to prevent; if SolidWorks complains, increase A_min slightly.</w:t>
      </w:r>
    </w:p>
    <w:p>
      <w:pPr>
        <w:pStyle w:val="ListParagraph"/>
        <w:numPr>
          <w:ilvl w:val="0"/>
          <w:numId w:val="1"/>
        </w:numPr>
        <w:spacing w:after="60"/>
      </w:pPr>
      <w:r>
        <w:rPr>
          <w:b w:val="false"/>
          <w:bCs w:val="false"/>
        </w:rPr>
        <w:t xml:space="preserve">Run Flow Simulation (Section 13) before committing to manufacture — the loft's mass-conservation shape is a first-pass model, not a guarantee of the real 3D flow behavior.</w:t>
      </w:r>
    </w:p>
    <w:p>
      <w:pPr>
        <w:pBdr>
          <w:left w:val="single" w:color="1a5276" w:sz="18" w:space="8"/>
        </w:pBdr>
        <w:shd w:fill="eef2f5" w:val="clear"/>
        <w:spacing w:after="140" w:before="80"/>
        <w:ind w:left="200"/>
      </w:pPr>
      <w:r>
        <w:rPr>
          <w:b/>
          <w:bCs/>
          <w:color w:val="1a5276"/>
        </w:rPr>
        <w:t xml:space="preserve">NOTE — </w:t>
      </w:r>
      <w:r>
        <w:t xml:space="preserve">This part carries the two flagged “open items” from the project's own limitations log: R_spiral_start/R_spiral_end are packaging placeholders, and the vane loss coefficient (used to size pressure drop, not geometry) is a placeholder too. Neither blocks building the CAD, but both should be revisited before treating this part's numbers as final.</w:t>
      </w:r>
    </w:p>
    <w:p>
      <w:r>
        <w:br w:type="page"/>
      </w:r>
    </w:p>
    <w:p>
      <w:pPr>
        <w:pStyle w:val="Heading1"/>
        <w:spacing w:after="160" w:before="320"/>
      </w:pPr>
      <w:r>
        <w:t xml:space="preserve">5. Part: Outer Body — Baseline Single-Inlet Manifold (PI-003B)</w:t>
      </w:r>
    </w:p>
    <w:p>
      <w:pPr>
        <w:spacing w:after="140"/>
      </w:pPr>
      <w:r>
        <w:rPr>
          <w:i/>
          <w:iCs/>
        </w:rPr>
        <w:t xml:space="preserve">Companion drawing: </w:t>
      </w:r>
      <w:r>
        <w:rPr>
          <w:b/>
          <w:bCs/>
          <w:i/>
          <w:iCs/>
          <w:color w:val="1a5276"/>
        </w:rPr>
        <w:t xml:space="preserve">Sheet 4 of 8</w:t>
      </w:r>
    </w:p>
    <w:p>
      <w:pPr>
        <w:pStyle w:val="Heading2"/>
        <w:spacing w:after="120" w:before="240"/>
      </w:pPr>
      <w:r>
        <w:t xml:space="preserve">5.1 What it does</w:t>
      </w:r>
    </w:p>
    <w:p>
      <w:pPr>
        <w:spacing w:after="140"/>
      </w:pPr>
      <w:r>
        <w:t xml:space="preserve">The control case for the comparative study: a plain constant-cross-section torus cavity fed by a single radial inlet, no taper, no vanes. Everything else — pintle, sleeve, throttle stroke, bolt pattern, flow conditions — is held identical to PI-003 so any uniformity difference measured is attributable to the manifold shape, not a confound.</w:t>
      </w:r>
    </w:p>
    <w:p>
      <w:pPr>
        <w:pStyle w:val="Heading2"/>
        <w:spacing w:after="120" w:before="240"/>
      </w:pPr>
      <w:r>
        <w:t xml:space="preserve">5.2 Build order</w:t>
      </w:r>
    </w:p>
    <w:p>
      <w:pPr>
        <w:pStyle w:val="ListParagraph"/>
        <w:numPr>
          <w:ilvl w:val="0"/>
          <w:numId w:val="6"/>
        </w:numPr>
        <w:spacing w:after="60"/>
      </w:pPr>
      <w:r>
        <w:t xml:space="preserve">Sketch a circle of diameter d0 (≈ 3.9 mm, matching the spiral's STARTING area A0 for a fair comparison) on a plane offset from the centerline at radius torus_r ≈ 16 mm.</w:t>
      </w:r>
    </w:p>
    <w:p>
      <w:pPr>
        <w:pStyle w:val="ListParagraph"/>
        <w:numPr>
          <w:ilvl w:val="0"/>
          <w:numId w:val="6"/>
        </w:numPr>
        <w:spacing w:after="60"/>
      </w:pPr>
      <w:r>
        <w:t xml:space="preserve">Sketch the circular path (a simple circle, radius torus_r, in the plan-view plane).</w:t>
      </w:r>
    </w:p>
    <w:p>
      <w:pPr>
        <w:pStyle w:val="ListParagraph"/>
        <w:numPr>
          <w:ilvl w:val="0"/>
          <w:numId w:val="6"/>
        </w:numPr>
        <w:spacing w:after="60"/>
      </w:pPr>
      <w:r>
        <w:t xml:space="preserve">Swept Boss/Base: sweep the small circle along the circular path, 360° — this is a plain Sweep, not a Loft, since the cross-section doesn't change.</w:t>
      </w:r>
    </w:p>
    <w:p>
      <w:pPr>
        <w:pStyle w:val="ListParagraph"/>
        <w:numPr>
          <w:ilvl w:val="0"/>
          <w:numId w:val="6"/>
        </w:numPr>
        <w:spacing w:after="60"/>
      </w:pPr>
      <w:r>
        <w:t xml:space="preserve">Subtract this torus from a cylindrical body blank (OD ≈ 40 mm, smaller than PI-003 since no spiral radius is needed).</w:t>
      </w:r>
    </w:p>
    <w:p>
      <w:pPr>
        <w:pStyle w:val="ListParagraph"/>
        <w:numPr>
          <w:ilvl w:val="0"/>
          <w:numId w:val="6"/>
        </w:numPr>
        <w:spacing w:after="60"/>
      </w:pPr>
      <w:r>
        <w:t xml:space="preserve">Add a single radial inlet port (perpendicular to the torus, NOT tangential — this is deliberately the swirl-inducing feed geometry the spiral design is meant to fix).</w:t>
      </w:r>
    </w:p>
    <w:p>
      <w:pPr>
        <w:pStyle w:val="ListParagraph"/>
        <w:numPr>
          <w:ilvl w:val="0"/>
          <w:numId w:val="6"/>
        </w:numPr>
        <w:spacing w:after="60"/>
      </w:pPr>
      <w:r>
        <w:t xml:space="preserve">Cut the same Ø15.0 central sleeve bore and the same 6× bolt pattern as PI-003, so PI-003 and PI-003B are physically interchangeable on the same faceplate/sleeve/pintle.</w:t>
      </w:r>
    </w:p>
    <w:p>
      <w:pPr>
        <w:pBdr>
          <w:left w:val="single" w:color="1a5276" w:sz="18" w:space="8"/>
        </w:pBdr>
        <w:shd w:fill="eef2f5" w:val="clear"/>
        <w:spacing w:after="140" w:before="80"/>
        <w:ind w:left="200"/>
      </w:pPr>
      <w:r>
        <w:rPr>
          <w:b/>
          <w:bCs/>
          <w:color w:val="1a5276"/>
        </w:rPr>
        <w:t xml:space="preserve">NOTE — </w:t>
      </w:r>
      <w:r>
        <w:t xml:space="preserve">Before trusting any comparison against PI-003, run Flow Simulation on this baseline FIRST and confirm it shows strong swirl, asymmetric pressure, and higher mass flux near the inlet side. If it doesn't, the mesh or setup is wrong — fix that before drawing conclusions from the spiral+vane run.</w:t>
      </w:r>
    </w:p>
    <w:p>
      <w:r>
        <w:br w:type="page"/>
      </w:r>
    </w:p>
    <w:p>
      <w:pPr>
        <w:pStyle w:val="Heading1"/>
        <w:spacing w:after="160" w:before="320"/>
      </w:pPr>
      <w:r>
        <w:t xml:space="preserve">6. Part: Turning Vane, ×12 (PI-005)</w:t>
      </w:r>
    </w:p>
    <w:p>
      <w:pPr>
        <w:spacing w:after="140"/>
      </w:pPr>
      <w:r>
        <w:rPr>
          <w:i/>
          <w:iCs/>
        </w:rPr>
        <w:t xml:space="preserve">Companion drawing: </w:t>
      </w:r>
      <w:r>
        <w:rPr>
          <w:b/>
          <w:bCs/>
          <w:i/>
          <w:iCs/>
          <w:color w:val="1a5276"/>
        </w:rPr>
        <w:t xml:space="preserve">Sheet 5 of 8</w:t>
      </w:r>
    </w:p>
    <w:p>
      <w:pPr>
        <w:pStyle w:val="Heading2"/>
        <w:spacing w:after="120" w:before="240"/>
      </w:pPr>
      <w:r>
        <w:t xml:space="preserve">6.1 What it does</w:t>
      </w:r>
    </w:p>
    <w:p>
      <w:pPr>
        <w:spacing w:after="140"/>
      </w:pPr>
      <w:r>
        <w:t xml:space="preserve">Small cambered blades positioned at the spiral's inner boundary (r ≈ R_spiral_end) that turn the locally-swirling flow (≈50° from radial) down toward the axial direction before it reaches the annular exit gap — the direct analog of stay vanes in a Francis turbine spiral casing.</w:t>
      </w:r>
    </w:p>
    <w:p>
      <w:pPr>
        <w:pStyle w:val="Heading2"/>
        <w:spacing w:after="120" w:before="240"/>
      </w:pPr>
      <w:r>
        <w:t xml:space="preserve">6.2 Build order</w:t>
      </w:r>
    </w:p>
    <w:p>
      <w:pPr>
        <w:pStyle w:val="ListParagraph"/>
        <w:numPr>
          <w:ilvl w:val="0"/>
          <w:numId w:val="7"/>
        </w:numPr>
        <w:spacing w:after="60"/>
      </w:pPr>
      <w:r>
        <w:t xml:space="preserve">New part. Sketch the camber line as a single spline or circular arc, turning through the local inlet swirl angle (≈50°, tune per your own CFD/hand-calc) down to ≈0° over the chord length (3.0 mm).</w:t>
      </w:r>
    </w:p>
    <w:p>
      <w:pPr>
        <w:pStyle w:val="ListParagraph"/>
        <w:numPr>
          <w:ilvl w:val="0"/>
          <w:numId w:val="7"/>
        </w:numPr>
        <w:spacing w:after="60"/>
      </w:pPr>
      <w:r>
        <w:t xml:space="preserve">Thicken the camber line into a blade profile: Sketch → Offset Entities (or two offset splines) at ±thickness/2 (0.25 mm each side) to get a uniform-thickness blade cross-section, rounded leading/trailing edges.</w:t>
      </w:r>
    </w:p>
    <w:p>
      <w:pPr>
        <w:pStyle w:val="ListParagraph"/>
        <w:numPr>
          <w:ilvl w:val="0"/>
          <w:numId w:val="7"/>
        </w:numPr>
        <w:spacing w:after="60"/>
      </w:pPr>
      <w:r>
        <w:t xml:space="preserve">Boss-Extrude the 2D blade profile straight up by ‘channel_h’ (5.0 mm) — the vane spans the full channel height at the spiral's inner wall.</w:t>
      </w:r>
    </w:p>
    <w:p>
      <w:pPr>
        <w:pStyle w:val="ListParagraph"/>
        <w:numPr>
          <w:ilvl w:val="0"/>
          <w:numId w:val="7"/>
        </w:numPr>
        <w:spacing w:after="60"/>
      </w:pPr>
      <w:r>
        <w:t xml:space="preserve">Save as its own part file so it can be inserted as a component and patterned in the assembly, OR treat it as a Library Feature / multibody cut tool if you prefer to model it directly inside PI-003.</w:t>
      </w:r>
    </w:p>
    <w:p>
      <w:pPr>
        <w:pStyle w:val="Heading2"/>
        <w:spacing w:after="120" w:before="240"/>
      </w:pPr>
      <w:r>
        <w:t xml:space="preserve">6.3 Patterning 12 vanes</w:t>
      </w:r>
    </w:p>
    <w:p>
      <w:pPr>
        <w:pStyle w:val="ListParagraph"/>
        <w:numPr>
          <w:ilvl w:val="0"/>
          <w:numId w:val="1"/>
        </w:numPr>
        <w:spacing w:after="60"/>
      </w:pPr>
      <w:r>
        <w:rPr>
          <w:b w:val="false"/>
          <w:bCs w:val="false"/>
        </w:rPr>
        <w:t xml:space="preserve">Assembly-level: Insert Component (PI-005) once, mate it into position at the spiral exit, then Insert → Component Pattern → Circular Pattern, 12×, 30° spacing, about the main assembly axis.</w:t>
      </w:r>
    </w:p>
    <w:p>
      <w:pPr>
        <w:pStyle w:val="ListParagraph"/>
        <w:numPr>
          <w:ilvl w:val="0"/>
          <w:numId w:val="1"/>
        </w:numPr>
        <w:spacing w:after="60"/>
      </w:pPr>
      <w:r>
        <w:rPr>
          <w:b w:val="false"/>
          <w:bCs w:val="false"/>
        </w:rPr>
        <w:t xml:space="preserve">Part-level (inside PI-003): insert the vane geometry as a cut/boss feature, then use a standard Feature → Circular Pattern (12×) referencing the centerline axis — simpler if the whole body is one machined/printed piece anyway.</w:t>
      </w:r>
    </w:p>
    <w:p>
      <w:pPr>
        <w:pBdr>
          <w:left w:val="single" w:color="1a5276" w:sz="18" w:space="8"/>
        </w:pBdr>
        <w:shd w:fill="eef2f5" w:val="clear"/>
        <w:spacing w:after="140" w:before="80"/>
        <w:ind w:left="200"/>
      </w:pPr>
      <w:r>
        <w:rPr>
          <w:b/>
          <w:bCs/>
          <w:color w:val="1a5276"/>
        </w:rPr>
        <w:t xml:space="preserve">NOTE — </w:t>
      </w:r>
      <w:r>
        <w:t xml:space="preserve">Vane count (12) is a starting point pulled from the middle of the sensitivity sweep [6, 8, 12, 16, 24] in the MATLAB feasibility script — not yet validated by CFD or test. Chord Reynolds number at the design point is only ≈12,000, borderline for clean turning (turbines prefer &gt;50,000), so expect the real swirl removal to be imperfect and treat the vane geometry as tunable, not fixed.</w:t>
      </w:r>
    </w:p>
    <w:p>
      <w:r>
        <w:br w:type="page"/>
      </w:r>
    </w:p>
    <w:p>
      <w:pPr>
        <w:pStyle w:val="Heading1"/>
        <w:spacing w:after="160" w:before="320"/>
      </w:pPr>
      <w:r>
        <w:t xml:space="preserve">7. Part: Faceplate / Retaining Backplate (PI-006)</w:t>
      </w:r>
    </w:p>
    <w:p>
      <w:pPr>
        <w:spacing w:after="140"/>
      </w:pPr>
      <w:r>
        <w:rPr>
          <w:i/>
          <w:iCs/>
        </w:rPr>
        <w:t xml:space="preserve">Companion drawing: </w:t>
      </w:r>
      <w:r>
        <w:rPr>
          <w:b/>
          <w:bCs/>
          <w:i/>
          <w:iCs/>
          <w:color w:val="1a5276"/>
        </w:rPr>
        <w:t xml:space="preserve">Sheet 6 of 8</w:t>
      </w:r>
    </w:p>
    <w:p>
      <w:pPr>
        <w:pStyle w:val="Heading2"/>
        <w:spacing w:after="120" w:before="240"/>
      </w:pPr>
      <w:r>
        <w:t xml:space="preserve">7.1 What it does</w:t>
      </w:r>
    </w:p>
    <w:p>
      <w:pPr>
        <w:spacing w:after="140"/>
      </w:pPr>
      <w:r>
        <w:t xml:space="preserve">Closes the assembly on the actuator side, carries the outboard guide bushing and dynamic seal interface, and provides the actuator mounting boss. Bolts to whichever manifold body (PI-003 or PI-003B) is installed.</w:t>
      </w:r>
    </w:p>
    <w:p>
      <w:pPr>
        <w:pStyle w:val="Heading2"/>
        <w:spacing w:after="120" w:before="240"/>
      </w:pPr>
      <w:r>
        <w:t xml:space="preserve">7.2 Build order</w:t>
      </w:r>
    </w:p>
    <w:p>
      <w:pPr>
        <w:pStyle w:val="ListParagraph"/>
        <w:numPr>
          <w:ilvl w:val="0"/>
          <w:numId w:val="8"/>
        </w:numPr>
        <w:spacing w:after="60"/>
      </w:pPr>
      <w:r>
        <w:t xml:space="preserve">Sketch a disc profile (Ø60.0 OD × 5.0 thick) with a central bore (Ø10.0) on the Front Plane.</w:t>
      </w:r>
    </w:p>
    <w:p>
      <w:pPr>
        <w:pStyle w:val="ListParagraph"/>
        <w:numPr>
          <w:ilvl w:val="0"/>
          <w:numId w:val="8"/>
        </w:numPr>
        <w:spacing w:after="60"/>
      </w:pPr>
      <w:r>
        <w:t xml:space="preserve">Revolve Boss/Base about the centerline.</w:t>
      </w:r>
    </w:p>
    <w:p>
      <w:pPr>
        <w:pStyle w:val="ListParagraph"/>
        <w:numPr>
          <w:ilvl w:val="0"/>
          <w:numId w:val="8"/>
        </w:numPr>
        <w:spacing w:after="60"/>
      </w:pPr>
      <w:r>
        <w:t xml:space="preserve">Add the actuator mounting boss (Ø20.0 OD, 6.0 mm long, bored to your actuator's mount spec) as a second Revolve Boss or Extruded Boss on the outboard face.</w:t>
      </w:r>
    </w:p>
    <w:p>
      <w:pPr>
        <w:pStyle w:val="ListParagraph"/>
        <w:numPr>
          <w:ilvl w:val="0"/>
          <w:numId w:val="8"/>
        </w:numPr>
        <w:spacing w:after="60"/>
      </w:pPr>
      <w:r>
        <w:t xml:space="preserve">Cut the O-ring groove (1.8×1.2 mm, revolved cut) on the sealing face against the manifold body — use the SAME groove dimensions/equations as the Sleeve flange (PI-002) if both seal against the same body face, for consistency.</w:t>
      </w:r>
    </w:p>
    <w:p>
      <w:pPr>
        <w:pStyle w:val="ListParagraph"/>
        <w:numPr>
          <w:ilvl w:val="0"/>
          <w:numId w:val="8"/>
        </w:numPr>
        <w:spacing w:after="60"/>
      </w:pPr>
      <w:r>
        <w:t xml:space="preserve">Circular Pattern (6×) the Ø4.5 clearance bolt holes about the centerline, on the same bolt-circle-diameter equation used in PI-002/PI-003/PI-003B.</w:t>
      </w:r>
    </w:p>
    <w:p>
      <w:pPr>
        <w:pStyle w:val="ListParagraph"/>
        <w:numPr>
          <w:ilvl w:val="0"/>
          <w:numId w:val="8"/>
        </w:numPr>
        <w:spacing w:after="60"/>
      </w:pPr>
      <w:r>
        <w:t xml:space="preserve">Add a Sensor on the center-bore-to-rod clearance once assembled (see Section 13) to catch interference automatically as Laod changes.</w:t>
      </w:r>
    </w:p>
    <w:p>
      <w:r>
        <w:br w:type="page"/>
      </w:r>
    </w:p>
    <w:p>
      <w:pPr>
        <w:pStyle w:val="Heading1"/>
        <w:spacing w:after="160" w:before="320"/>
      </w:pPr>
      <w:r>
        <w:t xml:space="preserve">8. Part: Guide Bushing, ×2 (PI-007)</w:t>
      </w:r>
    </w:p>
    <w:p>
      <w:pPr>
        <w:spacing w:after="140"/>
      </w:pPr>
      <w:r>
        <w:rPr>
          <w:i/>
          <w:iCs/>
        </w:rPr>
        <w:t xml:space="preserve">Companion drawing: </w:t>
      </w:r>
      <w:r>
        <w:rPr>
          <w:b/>
          <w:bCs/>
          <w:i/>
          <w:iCs/>
          <w:color w:val="1a5276"/>
        </w:rPr>
        <w:t xml:space="preserve">Sheet 7 of 8</w:t>
      </w:r>
    </w:p>
    <w:p>
      <w:pPr>
        <w:pStyle w:val="Heading2"/>
        <w:spacing w:after="120" w:before="240"/>
      </w:pPr>
      <w:r>
        <w:t xml:space="preserve">8.1 What it does</w:t>
      </w:r>
    </w:p>
    <w:p>
      <w:pPr>
        <w:spacing w:after="140"/>
      </w:pPr>
      <w:r>
        <w:t xml:space="preserve">Two axial support points (per the project's own parts list — a single support point risks rod bending, as the METU thesis's own “Alternative Design 1” found the hard way) that center the pintle rod inside the body while it translates during throttling.</w:t>
      </w:r>
    </w:p>
    <w:p>
      <w:pPr>
        <w:pStyle w:val="Heading2"/>
        <w:spacing w:after="120" w:before="240"/>
      </w:pPr>
      <w:r>
        <w:t xml:space="preserve">8.2 Build order</w:t>
      </w:r>
    </w:p>
    <w:p>
      <w:pPr>
        <w:pStyle w:val="ListParagraph"/>
        <w:numPr>
          <w:ilvl w:val="0"/>
          <w:numId w:val="9"/>
        </w:numPr>
        <w:spacing w:after="60"/>
      </w:pPr>
      <w:r>
        <w:t xml:space="preserve">Sketch a simple stepped profile: Ø6.0 OD, Ø3.05 bore (Dp + 0.05 mm running clearance, driven by an equation so it tracks Dp), 6.0 mm long, with 0.3×45° chamfers on all four OD/ID edges.</w:t>
      </w:r>
    </w:p>
    <w:p>
      <w:pPr>
        <w:pStyle w:val="ListParagraph"/>
        <w:numPr>
          <w:ilvl w:val="0"/>
          <w:numId w:val="9"/>
        </w:numPr>
        <w:spacing w:after="60"/>
      </w:pPr>
      <w:r>
        <w:t xml:space="preserve">Revolve Boss/Base once.</w:t>
      </w:r>
    </w:p>
    <w:p>
      <w:pPr>
        <w:pStyle w:val="ListParagraph"/>
        <w:numPr>
          <w:ilvl w:val="0"/>
          <w:numId w:val="9"/>
        </w:numPr>
        <w:spacing w:after="60"/>
      </w:pPr>
      <w:r>
        <w:t xml:space="preserve">Duplicate as a second instance at assembly level (no part-level changes needed — both bushings are identical); place one near the tip-side support and one nearer the actuator end.</w:t>
      </w:r>
    </w:p>
    <w:p>
      <w:r>
        <w:br w:type="page"/>
      </w:r>
    </w:p>
    <w:p>
      <w:pPr>
        <w:pStyle w:val="Heading1"/>
        <w:spacing w:after="160" w:before="320"/>
      </w:pPr>
      <w:r>
        <w:t xml:space="preserve">9. Part: Actuator Coupling (PI-008)</w:t>
      </w:r>
    </w:p>
    <w:p>
      <w:pPr>
        <w:spacing w:after="140"/>
      </w:pPr>
      <w:r>
        <w:rPr>
          <w:i/>
          <w:iCs/>
        </w:rPr>
        <w:t xml:space="preserve">Companion drawing: </w:t>
      </w:r>
      <w:r>
        <w:rPr>
          <w:b/>
          <w:bCs/>
          <w:i/>
          <w:iCs/>
          <w:color w:val="1a5276"/>
        </w:rPr>
        <w:t xml:space="preserve">Sheet 8 of 8</w:t>
      </w:r>
    </w:p>
    <w:p>
      <w:pPr>
        <w:pStyle w:val="Heading2"/>
        <w:spacing w:after="120" w:before="240"/>
      </w:pPr>
      <w:r>
        <w:t xml:space="preserve">9.1 What it does</w:t>
      </w:r>
    </w:p>
    <w:p>
      <w:pPr>
        <w:spacing w:after="140"/>
      </w:pPr>
      <w:r>
        <w:t xml:space="preserve">Rigid coupler transmitting the linear actuator's axial travel to the pintle rod's tail, without transmitting radial load into the rod (per the parts list requirement).</w:t>
      </w:r>
    </w:p>
    <w:p>
      <w:pPr>
        <w:pStyle w:val="Heading2"/>
        <w:spacing w:after="120" w:before="240"/>
      </w:pPr>
      <w:r>
        <w:t xml:space="preserve">9.2 Build order</w:t>
      </w:r>
    </w:p>
    <w:p>
      <w:pPr>
        <w:pStyle w:val="ListParagraph"/>
        <w:numPr>
          <w:ilvl w:val="0"/>
          <w:numId w:val="10"/>
        </w:numPr>
        <w:spacing w:after="60"/>
      </w:pPr>
      <w:r>
        <w:t xml:space="preserve">Revolve Boss/Base a plain Ø8.0 rod, 15.0 mm long, with a mid-body wrench-flat band (schematic on the drawing — model as a small flat-cut or hex if you want it functional).</w:t>
      </w:r>
    </w:p>
    <w:p>
      <w:pPr>
        <w:pStyle w:val="ListParagraph"/>
        <w:numPr>
          <w:ilvl w:val="0"/>
          <w:numId w:val="10"/>
        </w:numPr>
        <w:spacing w:after="60"/>
      </w:pPr>
      <w:r>
        <w:t xml:space="preserve">Cut-Extrude the rod-side internal bore (Ø2.5 tap drill) 6.0 mm deep from one end, then apply a Cosmetic or Cut Thread, M3×0.5, matching the pintle rod's tail thread (PI-001).</w:t>
      </w:r>
    </w:p>
    <w:p>
      <w:pPr>
        <w:pStyle w:val="ListParagraph"/>
        <w:numPr>
          <w:ilvl w:val="0"/>
          <w:numId w:val="10"/>
        </w:numPr>
        <w:spacing w:after="60"/>
      </w:pPr>
      <w:r>
        <w:t xml:space="preserve">Cut-Extrude the actuator-side bore (Ø4.0 clearance) 6.0 mm deep from the other end — placeholder sizing; replace with your actual actuator's output-shaft spec once selected.</w:t>
      </w:r>
    </w:p>
    <w:p>
      <w:pPr>
        <w:pStyle w:val="ListParagraph"/>
        <w:numPr>
          <w:ilvl w:val="0"/>
          <w:numId w:val="10"/>
        </w:numPr>
        <w:spacing w:after="60"/>
      </w:pPr>
      <w:r>
        <w:t xml:space="preserve">Hole Wizard → tapped hole, M3, radial, 2× at 90° apart, through the actuator-bore wall, for set screws.</w:t>
      </w:r>
    </w:p>
    <w:p>
      <w:pPr>
        <w:pBdr>
          <w:left w:val="single" w:color="1a5276" w:sz="18" w:space="8"/>
        </w:pBdr>
        <w:shd w:fill="eef2f5" w:val="clear"/>
        <w:spacing w:after="140" w:before="80"/>
        <w:ind w:left="200"/>
      </w:pPr>
      <w:r>
        <w:rPr>
          <w:b/>
          <w:bCs/>
          <w:color w:val="1a5276"/>
        </w:rPr>
        <w:t xml:space="preserve">NOTE — </w:t>
      </w:r>
      <w:r>
        <w:t xml:space="preserve">If actuator/rod misalignment is a real concern for your rig, swap this rigid coupling for a commercial flexible/bellows coupling of matching OD rather than relying on this simple design to absorb misalignment.</w:t>
      </w:r>
    </w:p>
    <w:p>
      <w:r>
        <w:br w:type="page"/>
      </w:r>
    </w:p>
    <w:p>
      <w:pPr>
        <w:pStyle w:val="Heading1"/>
        <w:spacing w:after="160" w:before="320"/>
      </w:pPr>
      <w:r>
        <w:t xml:space="preserve">10. Assembly Workflow</w:t>
      </w:r>
    </w:p>
    <w:p>
      <w:pPr>
        <w:pStyle w:val="Heading2"/>
        <w:spacing w:after="120" w:before="240"/>
      </w:pPr>
      <w:r>
        <w:t xml:space="preserve">10.1 Bring parts together</w:t>
      </w:r>
    </w:p>
    <w:p>
      <w:pPr>
        <w:pStyle w:val="ListParagraph"/>
        <w:numPr>
          <w:ilvl w:val="0"/>
          <w:numId w:val="11"/>
        </w:numPr>
        <w:spacing w:after="60"/>
      </w:pPr>
      <w:r>
        <w:t xml:space="preserve">New Assembly. Insert PI-002 (Sleeve) first as a fixed/grounded component.</w:t>
      </w:r>
    </w:p>
    <w:p>
      <w:pPr>
        <w:pStyle w:val="ListParagraph"/>
        <w:numPr>
          <w:ilvl w:val="0"/>
          <w:numId w:val="11"/>
        </w:numPr>
        <w:spacing w:after="60"/>
      </w:pPr>
      <w:r>
        <w:t xml:space="preserve">Insert PI-001 (Pintle Rod). Mate: Concentric (rod axis to sleeve bore axis).</w:t>
      </w:r>
    </w:p>
    <w:p>
      <w:pPr>
        <w:pStyle w:val="ListParagraph"/>
        <w:numPr>
          <w:ilvl w:val="0"/>
          <w:numId w:val="11"/>
        </w:numPr>
        <w:spacing w:after="60"/>
      </w:pPr>
      <w:r>
        <w:t xml:space="preserve">Mate: Distance, rod tip face to sleeve tip-zone reference plane, driven by ‘Laod’ — this is the single mate that represents the throttle position.</w:t>
      </w:r>
    </w:p>
    <w:p>
      <w:pPr>
        <w:pStyle w:val="ListParagraph"/>
        <w:numPr>
          <w:ilvl w:val="0"/>
          <w:numId w:val="11"/>
        </w:numPr>
        <w:spacing w:after="60"/>
      </w:pPr>
      <w:r>
        <w:t xml:space="preserve">Advanced Mates → Distance (Limit): set min = Laod_min (0), max = Laod_max (0.5 mm) so you can drag the pintle within its real travel range and watch for interference live.</w:t>
      </w:r>
    </w:p>
    <w:p>
      <w:pPr>
        <w:pStyle w:val="ListParagraph"/>
        <w:numPr>
          <w:ilvl w:val="0"/>
          <w:numId w:val="11"/>
        </w:numPr>
        <w:spacing w:after="60"/>
      </w:pPr>
      <w:r>
        <w:t xml:space="preserve">Insert PI-003 (or PI-003B). Mate: Concentric to the sleeve/rod axis, plus a coincident mate on the bolt-circle reference to fix rotation.</w:t>
      </w:r>
    </w:p>
    <w:p>
      <w:pPr>
        <w:pStyle w:val="ListParagraph"/>
        <w:numPr>
          <w:ilvl w:val="0"/>
          <w:numId w:val="11"/>
        </w:numPr>
        <w:spacing w:after="60"/>
      </w:pPr>
      <w:r>
        <w:t xml:space="preserve">Insert PI-006 (Faceplate). Mate: Concentric + coincident face-to-face against the manifold body, matching the shared bolt-circle equation.</w:t>
      </w:r>
    </w:p>
    <w:p>
      <w:pPr>
        <w:pStyle w:val="ListParagraph"/>
        <w:numPr>
          <w:ilvl w:val="0"/>
          <w:numId w:val="11"/>
        </w:numPr>
        <w:spacing w:after="60"/>
      </w:pPr>
      <w:r>
        <w:t xml:space="preserve">Insert PI-007 (Guide Bushings) ×2. Mate: Concentric to rod, coincident to their respective bore locations in the body/faceplate.</w:t>
      </w:r>
    </w:p>
    <w:p>
      <w:pPr>
        <w:pStyle w:val="ListParagraph"/>
        <w:numPr>
          <w:ilvl w:val="0"/>
          <w:numId w:val="11"/>
        </w:numPr>
        <w:spacing w:after="60"/>
      </w:pPr>
      <w:r>
        <w:t xml:space="preserve">Insert PI-008 (Actuator Coupling). Mate: Concentric + coincident to the rod's tail face.</w:t>
      </w:r>
    </w:p>
    <w:p>
      <w:pPr>
        <w:pStyle w:val="ListParagraph"/>
        <w:numPr>
          <w:ilvl w:val="0"/>
          <w:numId w:val="11"/>
        </w:numPr>
        <w:spacing w:after="60"/>
      </w:pPr>
      <w:r>
        <w:t xml:space="preserve">Insert PI-005 (Turning Vane) once, mate into position at the spiral exit, then Insert → Component Pattern → Circular Pattern (12×, 30°) about the main axis — skip this step if vanes were modeled as a feature directly inside PI-003.</w:t>
      </w:r>
    </w:p>
    <w:p>
      <w:pPr>
        <w:pStyle w:val="Heading2"/>
        <w:spacing w:after="120" w:before="240"/>
      </w:pPr>
      <w:r>
        <w:t xml:space="preserve">10.2 Represent throttle states</w:t>
      </w:r>
    </w:p>
    <w:p>
      <w:pPr>
        <w:spacing w:after="140"/>
      </w:pPr>
      <w:r>
        <w:t xml:space="preserve">Two ways to capture multiple throttle positions, pick based on what you need downstream:</w:t>
      </w:r>
    </w:p>
    <w:p>
      <w:pPr>
        <w:pStyle w:val="ListParagraph"/>
        <w:numPr>
          <w:ilvl w:val="0"/>
          <w:numId w:val="1"/>
        </w:numPr>
        <w:spacing w:after="60"/>
      </w:pPr>
      <w:r>
        <w:rPr>
          <w:b w:val="false"/>
          <w:bCs w:val="false"/>
        </w:rPr>
        <w:t xml:space="preserve">Configurations: right-click the Distance-Limit mate's driving dimension → ‘New Configuration.’ Create ‘Closed’ (Laod=0), ‘Mid-throttle’ (Laod≈0.25), ‘Full-open’ (Laod=0.5). Fast, good for a family-of-positions drawing (Section 12).</w:t>
      </w:r>
    </w:p>
    <w:p>
      <w:pPr>
        <w:pStyle w:val="ListParagraph"/>
        <w:numPr>
          <w:ilvl w:val="0"/>
          <w:numId w:val="1"/>
        </w:numPr>
        <w:spacing w:after="60"/>
      </w:pPr>
      <w:r>
        <w:rPr>
          <w:b w:val="false"/>
          <w:bCs w:val="false"/>
        </w:rPr>
        <w:t xml:space="preserve">Design Table (Excel-embedded): Insert → Tables → Design Table — gives you a full sweep of Laod values (e.g. matching every O/F point in the thesis's Table 2.3: 0.04, 0.15, 0.32, 0.50 mm) in one editable spreadsheet, useful if you're also driving Flow Simulation parametric studies off the same table.</w:t>
      </w:r>
    </w:p>
    <w:p>
      <w:r>
        <w:br w:type="page"/>
      </w:r>
    </w:p>
    <w:p>
      <w:pPr>
        <w:pStyle w:val="Heading1"/>
        <w:spacing w:after="160" w:before="320"/>
      </w:pPr>
      <w:r>
        <w:t xml:space="preserve">11. Verification Tools</w:t>
      </w:r>
    </w:p>
    <w:p>
      <w:pPr>
        <w:pStyle w:val="Heading2"/>
        <w:spacing w:after="120" w:before="240"/>
      </w:pPr>
      <w:r>
        <w:t xml:space="preserve">11.1 Interference Detection</w:t>
      </w:r>
    </w:p>
    <w:p>
      <w:pPr>
        <w:spacing w:after="140"/>
      </w:pPr>
      <w:r>
        <w:t xml:space="preserve">Tools → Interference Detection, run it at each configuration (Closed / Mid / Full-open) and especially while dragging the Distance-Limit mate through its full range — this is where a too-thin sleeve wall or an under-sized bushing clearance shows up before it becomes a manufactured part that doesn't fit.</w:t>
      </w:r>
    </w:p>
    <w:p>
      <w:pPr>
        <w:pStyle w:val="Heading2"/>
        <w:spacing w:after="120" w:before="240"/>
      </w:pPr>
      <w:r>
        <w:t xml:space="preserve">11.2 Motion Study (SolidWorks Premium)</w:t>
      </w:r>
    </w:p>
    <w:p>
      <w:pPr>
        <w:spacing w:after="140"/>
      </w:pPr>
      <w:r>
        <w:t xml:space="preserve">Animate the actuator driving the rod through a full throttle cycle using the Distance mate as the motor. Useful for a quick visual sanity check of travel range and for producing a demonstration animation; not a substitute for the interference check above.</w:t>
      </w:r>
    </w:p>
    <w:p>
      <w:pPr>
        <w:pStyle w:val="Heading2"/>
        <w:spacing w:after="120" w:before="240"/>
      </w:pPr>
      <w:r>
        <w:t xml:space="preserve">11.3 Flow Simulation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6e4f0" w:val="clear"/>
            <w:tcMar>
              <w:top w:type="dxa" w:w="60"/>
              <w:left w:type="dxa" w:w="100"/>
              <w:bottom w:type="dxa" w:w="60"/>
              <w:right w:type="dxa" w:w="100"/>
            </w:tcMar>
          </w:tcPr>
          <w:p>
            <w:pPr>
              <w:jc w:val="left"/>
            </w:pPr>
            <w:r>
              <w:rPr>
                <w:b/>
                <w:bCs/>
              </w:rPr>
              <w:t xml:space="preserve">Setting</w:t>
            </w:r>
          </w:p>
        </w:tc>
        <w:tc>
          <w:tcPr>
            <w:tcW w:type="dxa" w:w="6000"/>
            <w:shd w:fill="d6e4f0" w:val="clear"/>
            <w:tcMar>
              <w:top w:type="dxa" w:w="60"/>
              <w:left w:type="dxa" w:w="100"/>
              <w:bottom w:type="dxa" w:w="60"/>
              <w:right w:type="dxa" w:w="100"/>
            </w:tcMar>
          </w:tcPr>
          <w:p>
            <w:pPr>
              <w:jc w:val="left"/>
            </w:pPr>
            <w:r>
              <w:rPr>
                <w:b/>
                <w:bCs/>
              </w:rPr>
              <w:t xml:space="preserve">Value</w:t>
            </w:r>
          </w:p>
        </w:tc>
      </w:tr>
      <w:tr>
        <w:tc>
          <w:tcPr>
            <w:tcW w:type="dxa" w:w="3000"/>
            <w:tcMar>
              <w:top w:type="dxa" w:w="60"/>
              <w:left w:type="dxa" w:w="100"/>
              <w:bottom w:type="dxa" w:w="60"/>
              <w:right w:type="dxa" w:w="100"/>
            </w:tcMar>
          </w:tcPr>
          <w:p>
            <w:pPr>
              <w:jc w:val="left"/>
            </w:pPr>
            <w:r>
              <w:rPr>
                <w:b w:val="false"/>
                <w:bCs w:val="false"/>
              </w:rPr>
              <w:t xml:space="preserve">Local mesh refinement</w:t>
            </w:r>
          </w:p>
        </w:tc>
        <w:tc>
          <w:tcPr>
            <w:tcW w:type="dxa" w:w="6000"/>
            <w:tcMar>
              <w:top w:type="dxa" w:w="60"/>
              <w:left w:type="dxa" w:w="100"/>
              <w:bottom w:type="dxa" w:w="60"/>
              <w:right w:type="dxa" w:w="100"/>
            </w:tcMar>
          </w:tcPr>
          <w:p>
            <w:pPr>
              <w:jc w:val="left"/>
            </w:pPr>
            <w:r>
              <w:rPr>
                <w:b w:val="false"/>
                <w:bCs w:val="false"/>
              </w:rPr>
              <w:t xml:space="preserve">At the annular gap and vane surfaces</w:t>
            </w:r>
          </w:p>
        </w:tc>
      </w:tr>
      <w:tr>
        <w:tc>
          <w:tcPr>
            <w:tcW w:type="dxa" w:w="3000"/>
            <w:tcMar>
              <w:top w:type="dxa" w:w="60"/>
              <w:left w:type="dxa" w:w="100"/>
              <w:bottom w:type="dxa" w:w="60"/>
              <w:right w:type="dxa" w:w="100"/>
            </w:tcMar>
          </w:tcPr>
          <w:p>
            <w:pPr>
              <w:jc w:val="left"/>
            </w:pPr>
            <w:r>
              <w:rPr>
                <w:b w:val="false"/>
                <w:bCs w:val="false"/>
              </w:rPr>
              <w:t xml:space="preserve">Minimum cell size</w:t>
            </w:r>
          </w:p>
        </w:tc>
        <w:tc>
          <w:tcPr>
            <w:tcW w:type="dxa" w:w="6000"/>
            <w:tcMar>
              <w:top w:type="dxa" w:w="60"/>
              <w:left w:type="dxa" w:w="100"/>
              <w:bottom w:type="dxa" w:w="60"/>
              <w:right w:type="dxa" w:w="100"/>
            </w:tcMar>
          </w:tcPr>
          <w:p>
            <w:pPr>
              <w:jc w:val="left"/>
            </w:pPr>
            <w:r>
              <w:rPr>
                <w:b w:val="false"/>
                <w:bCs w:val="false"/>
              </w:rPr>
              <w:t xml:space="preserve">0.05 mm (≈10 cells across the 0.5 mm gap)</w:t>
            </w:r>
          </w:p>
        </w:tc>
      </w:tr>
      <w:tr>
        <w:tc>
          <w:tcPr>
            <w:tcW w:type="dxa" w:w="3000"/>
            <w:tcMar>
              <w:top w:type="dxa" w:w="60"/>
              <w:left w:type="dxa" w:w="100"/>
              <w:bottom w:type="dxa" w:w="60"/>
              <w:right w:type="dxa" w:w="100"/>
            </w:tcMar>
          </w:tcPr>
          <w:p>
            <w:pPr>
              <w:jc w:val="left"/>
            </w:pPr>
            <w:r>
              <w:rPr>
                <w:b w:val="false"/>
                <w:bCs w:val="false"/>
              </w:rPr>
              <w:t xml:space="preserve">Boundary layer mesh</w:t>
            </w:r>
          </w:p>
        </w:tc>
        <w:tc>
          <w:tcPr>
            <w:tcW w:type="dxa" w:w="6000"/>
            <w:tcMar>
              <w:top w:type="dxa" w:w="60"/>
              <w:left w:type="dxa" w:w="100"/>
              <w:bottom w:type="dxa" w:w="60"/>
              <w:right w:type="dxa" w:w="100"/>
            </w:tcMar>
          </w:tcPr>
          <w:p>
            <w:pPr>
              <w:jc w:val="left"/>
            </w:pPr>
            <w:r>
              <w:rPr>
                <w:b w:val="false"/>
                <w:bCs w:val="false"/>
              </w:rPr>
              <w:t xml:space="preserve">First cell height ≈0.01 mm, growth ratio 1.2, 5 layers</w:t>
            </w:r>
          </w:p>
        </w:tc>
      </w:tr>
      <w:tr>
        <w:tc>
          <w:tcPr>
            <w:tcW w:type="dxa" w:w="3000"/>
            <w:tcMar>
              <w:top w:type="dxa" w:w="60"/>
              <w:left w:type="dxa" w:w="100"/>
              <w:bottom w:type="dxa" w:w="60"/>
              <w:right w:type="dxa" w:w="100"/>
            </w:tcMar>
          </w:tcPr>
          <w:p>
            <w:pPr>
              <w:jc w:val="left"/>
            </w:pPr>
            <w:r>
              <w:rPr>
                <w:b w:val="false"/>
                <w:bCs w:val="false"/>
              </w:rPr>
              <w:t xml:space="preserve">Total cell count</w:t>
            </w:r>
          </w:p>
        </w:tc>
        <w:tc>
          <w:tcPr>
            <w:tcW w:type="dxa" w:w="6000"/>
            <w:tcMar>
              <w:top w:type="dxa" w:w="60"/>
              <w:left w:type="dxa" w:w="100"/>
              <w:bottom w:type="dxa" w:w="60"/>
              <w:right w:type="dxa" w:w="100"/>
            </w:tcMar>
          </w:tcPr>
          <w:p>
            <w:pPr>
              <w:jc w:val="left"/>
            </w:pPr>
            <w:r>
              <w:rPr>
                <w:b w:val="false"/>
                <w:bCs w:val="false"/>
              </w:rPr>
              <w:t xml:space="preserve">2–5 million for a 90° sector (use periodic/rotational symmetry where possible)</w:t>
            </w:r>
          </w:p>
        </w:tc>
      </w:tr>
    </w:tbl>
    <w:p>
      <w:pPr>
        <w:spacing w:after="140"/>
      </w:pPr>
      <w:r>
        <w:t xml:space="preserve">What to plot, in this order:</w:t>
      </w:r>
    </w:p>
    <w:p>
      <w:pPr>
        <w:pStyle w:val="ListParagraph"/>
        <w:numPr>
          <w:ilvl w:val="0"/>
          <w:numId w:val="12"/>
        </w:numPr>
        <w:spacing w:after="60"/>
      </w:pPr>
      <w:r>
        <w:t xml:space="preserve">Velocity vectors at the annular exit plane — look at circumferential variation directly.</w:t>
      </w:r>
    </w:p>
    <w:p>
      <w:pPr>
        <w:pStyle w:val="ListParagraph"/>
        <w:numPr>
          <w:ilvl w:val="0"/>
          <w:numId w:val="12"/>
        </w:numPr>
        <w:spacing w:after="60"/>
      </w:pPr>
      <w:r>
        <w:t xml:space="preserve">Swirl number S vs. θ — should approach zero downstream of the vanes.</w:t>
      </w:r>
    </w:p>
    <w:p>
      <w:pPr>
        <w:pStyle w:val="ListParagraph"/>
        <w:numPr>
          <w:ilvl w:val="0"/>
          <w:numId w:val="12"/>
        </w:numPr>
        <w:spacing w:after="60"/>
      </w:pPr>
      <w:r>
        <w:t xml:space="preserve">Mass flux uniformity — target ṁ(θ) constant within ±5%.</w:t>
      </w:r>
    </w:p>
    <w:p>
      <w:pPr>
        <w:pStyle w:val="ListParagraph"/>
        <w:numPr>
          <w:ilvl w:val="0"/>
          <w:numId w:val="12"/>
        </w:numPr>
        <w:spacing w:after="60"/>
      </w:pPr>
      <w:r>
        <w:t xml:space="preserve">Pressure contour — should be roughly axisymmetric after the vanes.</w:t>
      </w:r>
    </w:p>
    <w:p>
      <w:pPr>
        <w:pBdr>
          <w:left w:val="single" w:color="1a5276" w:sz="18" w:space="8"/>
        </w:pBdr>
        <w:shd w:fill="eef2f5" w:val="clear"/>
        <w:spacing w:after="140" w:before="80"/>
        <w:ind w:left="200"/>
      </w:pPr>
      <w:r>
        <w:rPr>
          <w:b/>
          <w:bCs/>
          <w:color w:val="1a5276"/>
        </w:rPr>
        <w:t xml:space="preserve">NOTE — </w:t>
      </w:r>
      <w:r>
        <w:t xml:space="preserve">Run the BASELINE (PI-003B) first and confirm it shows strong swirl and asymmetric flux before trusting a spiral+vane result — if the baseline looks clean, your mesh/BCs are wrong, not your spiral design good. Also, restrict CFD conclusions to TMR &gt; 0.74 where steady RANS is known to hold; the MDPI 2026 study found steady RANS overpredicts spray angle by up to 62% below that, so low-throttle CFD needs unsteady RANS or LES.</w:t>
      </w:r>
    </w:p>
    <w:p>
      <w:pPr>
        <w:pStyle w:val="Heading2"/>
        <w:spacing w:after="120" w:before="240"/>
      </w:pPr>
      <w:r>
        <w:t xml:space="preserve">11.4 Dimension Sensors</w:t>
      </w:r>
    </w:p>
    <w:p>
      <w:pPr>
        <w:spacing w:after="140"/>
      </w:pPr>
      <w:r>
        <w:t xml:space="preserve">FeatureManager → Sensors → Add Sensor → Dimension. Add one on the annular gap (tag) so SolidWorks flags automatically if a design change ever drives it toward zero or negative, and one on the rod-bore wall thickness (PI-001) so a future Dp/Dt change can't silently create an unmachinable wall.</w:t>
      </w:r>
    </w:p>
    <w:p>
      <w:r>
        <w:br w:type="page"/>
      </w:r>
    </w:p>
    <w:p>
      <w:pPr>
        <w:pStyle w:val="Heading1"/>
        <w:spacing w:after="160" w:before="320"/>
      </w:pPr>
      <w:r>
        <w:t xml:space="preserve">12. SolidWorks Drawings</w:t>
      </w:r>
    </w:p>
    <w:p>
      <w:pPr>
        <w:pStyle w:val="Heading2"/>
        <w:spacing w:after="120" w:before="240"/>
      </w:pPr>
      <w:r>
        <w:t xml:space="preserve">12.1 Per-part drawings</w:t>
      </w:r>
    </w:p>
    <w:p>
      <w:pPr>
        <w:spacing w:after="140"/>
      </w:pPr>
      <w:r>
        <w:t xml:space="preserve">Insert → Drawing for each part, standard 3-view + isometric layout, with a title block matching your lab/course template. Cross-reference the companion PDF's Notes blocks for each part when filling in tolerances, material callouts, and surface finish — those sheets were written to hand directly to a SolidWorks drawing, not just to a modeler.</w:t>
      </w:r>
    </w:p>
    <w:p>
      <w:pPr>
        <w:pStyle w:val="Heading2"/>
        <w:spacing w:after="120" w:before="240"/>
      </w:pPr>
      <w:r>
        <w:t xml:space="preserve">12.2 Family-of-positions drawing (assembly)</w:t>
      </w:r>
    </w:p>
    <w:p>
      <w:pPr>
        <w:spacing w:after="140"/>
      </w:pPr>
      <w:r>
        <w:t xml:space="preserve">Insert → Drawing, pull the SAME assembly view in three times on one sheet, switching each view's configuration to Closed / Mid-throttle / Full-open — this is the standard way to show a movable pintle's full travel range on a single sheet without three separate files.</w:t>
      </w:r>
    </w:p>
    <w:p>
      <w:r>
        <w:br w:type="page"/>
      </w:r>
    </w:p>
    <w:p>
      <w:pPr>
        <w:pStyle w:val="Heading1"/>
        <w:spacing w:after="160" w:before="320"/>
      </w:pPr>
      <w:r>
        <w:t xml:space="preserve">13. Assumptions &amp; Open Items Carried Into This CAD</w:t>
      </w:r>
    </w:p>
    <w:p>
      <w:pPr>
        <w:spacing w:after="140"/>
      </w:pPr>
      <w:r>
        <w:t xml:space="preserve">Every geometry choice here traces back to either the METU thesis baseline, the project's MATLAB feasibility script, or an explicit packaging/manufacturing placeholder. Table below is the single place to check before treating any dimension as final.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2500"/>
      </w:tblGrid>
      <w:tr>
        <w:trPr>
          <w:tblHeader/>
        </w:trPr>
        <w:tc>
          <w:tcPr>
            <w:tcW w:type="dxa" w:w="3200"/>
            <w:shd w:fill="d6e4f0" w:val="clear"/>
            <w:tcMar>
              <w:top w:type="dxa" w:w="60"/>
              <w:left w:type="dxa" w:w="100"/>
              <w:bottom w:type="dxa" w:w="60"/>
              <w:right w:type="dxa" w:w="100"/>
            </w:tcMar>
          </w:tcPr>
          <w:p>
            <w:pPr>
              <w:jc w:val="left"/>
            </w:pPr>
            <w:r>
              <w:rPr>
                <w:b/>
                <w:bCs/>
              </w:rPr>
              <w:t xml:space="preserve">Item</w:t>
            </w:r>
          </w:p>
        </w:tc>
        <w:tc>
          <w:tcPr>
            <w:tcW w:type="dxa" w:w="3300"/>
            <w:shd w:fill="d6e4f0" w:val="clear"/>
            <w:tcMar>
              <w:top w:type="dxa" w:w="60"/>
              <w:left w:type="dxa" w:w="100"/>
              <w:bottom w:type="dxa" w:w="60"/>
              <w:right w:type="dxa" w:w="100"/>
            </w:tcMar>
          </w:tcPr>
          <w:p>
            <w:pPr>
              <w:jc w:val="left"/>
            </w:pPr>
            <w:r>
              <w:rPr>
                <w:b/>
                <w:bCs/>
              </w:rPr>
              <w:t xml:space="preserve">Status</w:t>
            </w:r>
          </w:p>
        </w:tc>
        <w:tc>
          <w:tcPr>
            <w:tcW w:type="dxa" w:w="2500"/>
            <w:shd w:fill="d6e4f0" w:val="clear"/>
            <w:tcMar>
              <w:top w:type="dxa" w:w="60"/>
              <w:left w:type="dxa" w:w="100"/>
              <w:bottom w:type="dxa" w:w="60"/>
              <w:right w:type="dxa" w:w="100"/>
            </w:tcMar>
          </w:tcPr>
          <w:p>
            <w:pPr>
              <w:jc w:val="left"/>
            </w:pPr>
            <w:r>
              <w:rPr>
                <w:b/>
                <w:bCs/>
              </w:rPr>
              <w:t xml:space="preserve">Where flagged</w:t>
            </w:r>
          </w:p>
        </w:tc>
      </w:tr>
      <w:tr>
        <w:tc>
          <w:tcPr>
            <w:tcW w:type="dxa" w:w="3200"/>
            <w:tcMar>
              <w:top w:type="dxa" w:w="60"/>
              <w:left w:type="dxa" w:w="100"/>
              <w:bottom w:type="dxa" w:w="60"/>
              <w:right w:type="dxa" w:w="100"/>
            </w:tcMar>
          </w:tcPr>
          <w:p>
            <w:pPr>
              <w:jc w:val="left"/>
            </w:pPr>
            <w:r>
              <w:rPr>
                <w:b w:val="false"/>
                <w:bCs w:val="false"/>
              </w:rPr>
              <w:t xml:space="preserve">Dt, Dp, alpha, tag, tpg (core pintle geometry)</w:t>
            </w:r>
          </w:p>
        </w:tc>
        <w:tc>
          <w:tcPr>
            <w:tcW w:type="dxa" w:w="3300"/>
            <w:tcMar>
              <w:top w:type="dxa" w:w="60"/>
              <w:left w:type="dxa" w:w="100"/>
              <w:bottom w:type="dxa" w:w="60"/>
              <w:right w:type="dxa" w:w="100"/>
            </w:tcMar>
          </w:tcPr>
          <w:p>
            <w:pPr>
              <w:jc w:val="left"/>
            </w:pPr>
            <w:r>
              <w:rPr>
                <w:b w:val="false"/>
                <w:bCs w:val="false"/>
              </w:rPr>
              <w:t xml:space="preserve">Validated baseline (METU Type-1, tested at design point O/F=4)</w:t>
            </w:r>
          </w:p>
        </w:tc>
        <w:tc>
          <w:tcPr>
            <w:tcW w:type="dxa" w:w="2500"/>
            <w:tcMar>
              <w:top w:type="dxa" w:w="60"/>
              <w:left w:type="dxa" w:w="100"/>
              <w:bottom w:type="dxa" w:w="60"/>
              <w:right w:type="dxa" w:w="100"/>
            </w:tcMar>
          </w:tcPr>
          <w:p>
            <w:pPr>
              <w:jc w:val="left"/>
            </w:pPr>
            <w:r>
              <w:rPr>
                <w:b w:val="false"/>
                <w:bCs w:val="false"/>
              </w:rPr>
              <w:t xml:space="preserve">Thesis Table 3.1</w:t>
            </w:r>
          </w:p>
        </w:tc>
      </w:tr>
      <w:tr>
        <w:tc>
          <w:tcPr>
            <w:tcW w:type="dxa" w:w="3200"/>
            <w:tcMar>
              <w:top w:type="dxa" w:w="60"/>
              <w:left w:type="dxa" w:w="100"/>
              <w:bottom w:type="dxa" w:w="60"/>
              <w:right w:type="dxa" w:w="100"/>
            </w:tcMar>
          </w:tcPr>
          <w:p>
            <w:pPr>
              <w:jc w:val="left"/>
            </w:pPr>
            <w:r>
              <w:rPr>
                <w:b w:val="false"/>
                <w:bCs w:val="false"/>
              </w:rPr>
              <w:t xml:space="preserve">Design point reused at O/F=3.2 instead of O/F=4</w:t>
            </w:r>
          </w:p>
        </w:tc>
        <w:tc>
          <w:tcPr>
            <w:tcW w:type="dxa" w:w="3300"/>
            <w:tcMar>
              <w:top w:type="dxa" w:w="60"/>
              <w:left w:type="dxa" w:w="100"/>
              <w:bottom w:type="dxa" w:w="60"/>
              <w:right w:type="dxa" w:w="100"/>
            </w:tcMar>
          </w:tcPr>
          <w:p>
            <w:pPr>
              <w:jc w:val="left"/>
            </w:pPr>
            <w:r>
              <w:rPr>
                <w:b w:val="false"/>
                <w:bCs w:val="false"/>
              </w:rPr>
              <w:t xml:space="preserve">Reasonable but not identically validated — geometry borrowed, flow condition changed</w:t>
            </w:r>
          </w:p>
        </w:tc>
        <w:tc>
          <w:tcPr>
            <w:tcW w:type="dxa" w:w="2500"/>
            <w:tcMar>
              <w:top w:type="dxa" w:w="60"/>
              <w:left w:type="dxa" w:w="100"/>
              <w:bottom w:type="dxa" w:w="60"/>
              <w:right w:type="dxa" w:w="100"/>
            </w:tcMar>
          </w:tcPr>
          <w:p>
            <w:pPr>
              <w:jc w:val="left"/>
            </w:pPr>
            <w:r>
              <w:rPr>
                <w:b w:val="false"/>
                <w:bCs w:val="false"/>
              </w:rPr>
              <w:t xml:space="preserve">Conversation log Sec.5</w:t>
            </w:r>
          </w:p>
        </w:tc>
      </w:tr>
      <w:tr>
        <w:tc>
          <w:tcPr>
            <w:tcW w:type="dxa" w:w="3200"/>
            <w:tcMar>
              <w:top w:type="dxa" w:w="60"/>
              <w:left w:type="dxa" w:w="100"/>
              <w:bottom w:type="dxa" w:w="60"/>
              <w:right w:type="dxa" w:w="100"/>
            </w:tcMar>
          </w:tcPr>
          <w:p>
            <w:pPr>
              <w:jc w:val="left"/>
            </w:pPr>
            <w:r>
              <w:rPr>
                <w:b w:val="false"/>
                <w:bCs w:val="false"/>
              </w:rPr>
              <w:t xml:space="preserve">Sleeve bore = straight cylinder, not cone-following</w:t>
            </w:r>
          </w:p>
        </w:tc>
        <w:tc>
          <w:tcPr>
            <w:tcW w:type="dxa" w:w="3300"/>
            <w:tcMar>
              <w:top w:type="dxa" w:w="60"/>
              <w:left w:type="dxa" w:w="100"/>
              <w:bottom w:type="dxa" w:w="60"/>
              <w:right w:type="dxa" w:w="100"/>
            </w:tcMar>
          </w:tcPr>
          <w:p>
            <w:pPr>
              <w:jc w:val="left"/>
            </w:pPr>
            <w:r>
              <w:rPr>
                <w:b w:val="false"/>
                <w:bCs w:val="false"/>
              </w:rPr>
              <w:t xml:space="preserve">First-pass simplification, refine after CFD if needed</w:t>
            </w:r>
          </w:p>
        </w:tc>
        <w:tc>
          <w:tcPr>
            <w:tcW w:type="dxa" w:w="2500"/>
            <w:tcMar>
              <w:top w:type="dxa" w:w="60"/>
              <w:left w:type="dxa" w:w="100"/>
              <w:bottom w:type="dxa" w:w="60"/>
              <w:right w:type="dxa" w:w="100"/>
            </w:tcMar>
          </w:tcPr>
          <w:p>
            <w:pPr>
              <w:jc w:val="left"/>
            </w:pPr>
            <w:r>
              <w:rPr>
                <w:b w:val="false"/>
                <w:bCs w:val="false"/>
              </w:rPr>
              <w:t xml:space="preserve">This guide, Sec.3</w:t>
            </w:r>
          </w:p>
        </w:tc>
      </w:tr>
      <w:tr>
        <w:tc>
          <w:tcPr>
            <w:tcW w:type="dxa" w:w="3200"/>
            <w:tcMar>
              <w:top w:type="dxa" w:w="60"/>
              <w:left w:type="dxa" w:w="100"/>
              <w:bottom w:type="dxa" w:w="60"/>
              <w:right w:type="dxa" w:w="100"/>
            </w:tcMar>
          </w:tcPr>
          <w:p>
            <w:pPr>
              <w:jc w:val="left"/>
            </w:pPr>
            <w:r>
              <w:rPr>
                <w:b w:val="false"/>
                <w:bCs w:val="false"/>
              </w:rPr>
              <w:t xml:space="preserve">R_spiral_start=25, R_spiral_end=15</w:t>
            </w:r>
          </w:p>
        </w:tc>
        <w:tc>
          <w:tcPr>
            <w:tcW w:type="dxa" w:w="3300"/>
            <w:tcMar>
              <w:top w:type="dxa" w:w="60"/>
              <w:left w:type="dxa" w:w="100"/>
              <w:bottom w:type="dxa" w:w="60"/>
              <w:right w:type="dxa" w:w="100"/>
            </w:tcMar>
          </w:tcPr>
          <w:p>
            <w:pPr>
              <w:jc w:val="left"/>
            </w:pPr>
            <w:r>
              <w:rPr>
                <w:b w:val="false"/>
                <w:bCs w:val="false"/>
              </w:rPr>
              <w:t xml:space="preserve">Packaging PLACEHOLDER — not derived from mass flow or channel size</w:t>
            </w:r>
          </w:p>
        </w:tc>
        <w:tc>
          <w:tcPr>
            <w:tcW w:type="dxa" w:w="2500"/>
            <w:tcMar>
              <w:top w:type="dxa" w:w="60"/>
              <w:left w:type="dxa" w:w="100"/>
              <w:bottom w:type="dxa" w:w="60"/>
              <w:right w:type="dxa" w:w="100"/>
            </w:tcMar>
          </w:tcPr>
          <w:p>
            <w:pPr>
              <w:jc w:val="left"/>
            </w:pPr>
            <w:r>
              <w:rPr>
                <w:b w:val="false"/>
                <w:bCs w:val="false"/>
              </w:rPr>
              <w:t xml:space="preserve">Ref. doc Sec.6.6 / review log</w:t>
            </w:r>
          </w:p>
        </w:tc>
      </w:tr>
      <w:tr>
        <w:tc>
          <w:tcPr>
            <w:tcW w:type="dxa" w:w="3200"/>
            <w:tcMar>
              <w:top w:type="dxa" w:w="60"/>
              <w:left w:type="dxa" w:w="100"/>
              <w:bottom w:type="dxa" w:w="60"/>
              <w:right w:type="dxa" w:w="100"/>
            </w:tcMar>
          </w:tcPr>
          <w:p>
            <w:pPr>
              <w:jc w:val="left"/>
            </w:pPr>
            <w:r>
              <w:rPr>
                <w:b w:val="false"/>
                <w:bCs w:val="false"/>
              </w:rPr>
              <w:t xml:space="preserve">5% area floor (A_min) at θ=360°</w:t>
            </w:r>
          </w:p>
        </w:tc>
        <w:tc>
          <w:tcPr>
            <w:tcW w:type="dxa" w:w="3300"/>
            <w:tcMar>
              <w:top w:type="dxa" w:w="60"/>
              <w:left w:type="dxa" w:w="100"/>
              <w:bottom w:type="dxa" w:w="60"/>
              <w:right w:type="dxa" w:w="100"/>
            </w:tcMar>
          </w:tcPr>
          <w:p>
            <w:pPr>
              <w:jc w:val="left"/>
            </w:pPr>
            <w:r>
              <w:rPr>
                <w:b w:val="false"/>
                <w:bCs w:val="false"/>
              </w:rPr>
              <w:t xml:space="preserve">Deliberate fix for a real zero-area singularity, not arbitrary</w:t>
            </w:r>
          </w:p>
        </w:tc>
        <w:tc>
          <w:tcPr>
            <w:tcW w:type="dxa" w:w="2500"/>
            <w:tcMar>
              <w:top w:type="dxa" w:w="60"/>
              <w:left w:type="dxa" w:w="100"/>
              <w:bottom w:type="dxa" w:w="60"/>
              <w:right w:type="dxa" w:w="100"/>
            </w:tcMar>
          </w:tcPr>
          <w:p>
            <w:pPr>
              <w:jc w:val="left"/>
            </w:pPr>
            <w:r>
              <w:rPr>
                <w:b w:val="false"/>
                <w:bCs w:val="false"/>
              </w:rPr>
              <w:t xml:space="preserve">MATLAB v2 script Sec.6</w:t>
            </w:r>
          </w:p>
        </w:tc>
      </w:tr>
      <w:tr>
        <w:tc>
          <w:tcPr>
            <w:tcW w:type="dxa" w:w="3200"/>
            <w:tcMar>
              <w:top w:type="dxa" w:w="60"/>
              <w:left w:type="dxa" w:w="100"/>
              <w:bottom w:type="dxa" w:w="60"/>
              <w:right w:type="dxa" w:w="100"/>
            </w:tcMar>
          </w:tcPr>
          <w:p>
            <w:pPr>
              <w:jc w:val="left"/>
            </w:pPr>
            <w:r>
              <w:rPr>
                <w:b w:val="false"/>
                <w:bCs w:val="false"/>
              </w:rPr>
              <w:t xml:space="preserve">Vane loss coefficient K≈0.1–0.3, vane count=12</w:t>
            </w:r>
          </w:p>
        </w:tc>
        <w:tc>
          <w:tcPr>
            <w:tcW w:type="dxa" w:w="3300"/>
            <w:tcMar>
              <w:top w:type="dxa" w:w="60"/>
              <w:left w:type="dxa" w:w="100"/>
              <w:bottom w:type="dxa" w:w="60"/>
              <w:right w:type="dxa" w:w="100"/>
            </w:tcMar>
          </w:tcPr>
          <w:p>
            <w:pPr>
              <w:jc w:val="left"/>
            </w:pPr>
            <w:r>
              <w:rPr>
                <w:b w:val="false"/>
                <w:bCs w:val="false"/>
              </w:rPr>
              <w:t xml:space="preserve">Placeholder, not CFD- or test-derived</w:t>
            </w:r>
          </w:p>
        </w:tc>
        <w:tc>
          <w:tcPr>
            <w:tcW w:type="dxa" w:w="2500"/>
            <w:tcMar>
              <w:top w:type="dxa" w:w="60"/>
              <w:left w:type="dxa" w:w="100"/>
              <w:bottom w:type="dxa" w:w="60"/>
              <w:right w:type="dxa" w:w="100"/>
            </w:tcMar>
          </w:tcPr>
          <w:p>
            <w:pPr>
              <w:jc w:val="left"/>
            </w:pPr>
            <w:r>
              <w:rPr>
                <w:b w:val="false"/>
                <w:bCs w:val="false"/>
              </w:rPr>
              <w:t xml:space="preserve">Ref. doc Sec.6.4</w:t>
            </w:r>
          </w:p>
        </w:tc>
      </w:tr>
      <w:tr>
        <w:tc>
          <w:tcPr>
            <w:tcW w:type="dxa" w:w="3200"/>
            <w:tcMar>
              <w:top w:type="dxa" w:w="60"/>
              <w:left w:type="dxa" w:w="100"/>
              <w:bottom w:type="dxa" w:w="60"/>
              <w:right w:type="dxa" w:w="100"/>
            </w:tcMar>
          </w:tcPr>
          <w:p>
            <w:pPr>
              <w:jc w:val="left"/>
            </w:pPr>
            <w:r>
              <w:rPr>
                <w:b w:val="false"/>
                <w:bCs w:val="false"/>
              </w:rPr>
              <w:t xml:space="preserve">Weber number formula uses sigma_CH4 (not sigma_LOX)</w:t>
            </w:r>
          </w:p>
        </w:tc>
        <w:tc>
          <w:tcPr>
            <w:tcW w:type="dxa" w:w="3300"/>
            <w:tcMar>
              <w:top w:type="dxa" w:w="60"/>
              <w:left w:type="dxa" w:w="100"/>
              <w:bottom w:type="dxa" w:w="60"/>
              <w:right w:type="dxa" w:w="100"/>
            </w:tcMar>
          </w:tcPr>
          <w:p>
            <w:pPr>
              <w:jc w:val="left"/>
            </w:pPr>
            <w:r>
              <w:rPr>
                <w:b w:val="false"/>
                <w:bCs w:val="false"/>
              </w:rPr>
              <w:t xml:space="preserve">Corrected for liquid-liquid architecture; still a qualitative check only</w:t>
            </w:r>
          </w:p>
        </w:tc>
        <w:tc>
          <w:tcPr>
            <w:tcW w:type="dxa" w:w="2500"/>
            <w:tcMar>
              <w:top w:type="dxa" w:w="60"/>
              <w:left w:type="dxa" w:w="100"/>
              <w:bottom w:type="dxa" w:w="60"/>
              <w:right w:type="dxa" w:w="100"/>
            </w:tcMar>
          </w:tcPr>
          <w:p>
            <w:pPr>
              <w:jc w:val="left"/>
            </w:pPr>
            <w:r>
              <w:rPr>
                <w:b w:val="false"/>
                <w:bCs w:val="false"/>
              </w:rPr>
              <w:t xml:space="preserve">Conversation log Sec.7</w:t>
            </w:r>
          </w:p>
        </w:tc>
      </w:tr>
      <w:tr>
        <w:tc>
          <w:tcPr>
            <w:tcW w:type="dxa" w:w="3200"/>
            <w:tcMar>
              <w:top w:type="dxa" w:w="60"/>
              <w:left w:type="dxa" w:w="100"/>
              <w:bottom w:type="dxa" w:w="60"/>
              <w:right w:type="dxa" w:w="100"/>
            </w:tcMar>
          </w:tcPr>
          <w:p>
            <w:pPr>
              <w:jc w:val="left"/>
            </w:pPr>
            <w:r>
              <w:rPr>
                <w:b w:val="false"/>
                <w:bCs w:val="false"/>
              </w:rPr>
              <w:t xml:space="preserve">Boundary-layer formula (laminar flat-plate)</w:t>
            </w:r>
          </w:p>
        </w:tc>
        <w:tc>
          <w:tcPr>
            <w:tcW w:type="dxa" w:w="3300"/>
            <w:tcMar>
              <w:top w:type="dxa" w:w="60"/>
              <w:left w:type="dxa" w:w="100"/>
              <w:bottom w:type="dxa" w:w="60"/>
              <w:right w:type="dxa" w:w="100"/>
            </w:tcMar>
          </w:tcPr>
          <w:p>
            <w:pPr>
              <w:jc w:val="left"/>
            </w:pPr>
            <w:r>
              <w:rPr>
                <w:b w:val="false"/>
                <w:bCs w:val="false"/>
              </w:rPr>
              <w:t xml:space="preserve">Conservative (overestimates δ) at the script's actual turbulent Re — safe direction, not a bug</w:t>
            </w:r>
          </w:p>
        </w:tc>
        <w:tc>
          <w:tcPr>
            <w:tcW w:type="dxa" w:w="2500"/>
            <w:tcMar>
              <w:top w:type="dxa" w:w="60"/>
              <w:left w:type="dxa" w:w="100"/>
              <w:bottom w:type="dxa" w:w="60"/>
              <w:right w:type="dxa" w:w="100"/>
            </w:tcMar>
          </w:tcPr>
          <w:p>
            <w:pPr>
              <w:jc w:val="left"/>
            </w:pPr>
            <w:r>
              <w:rPr>
                <w:b w:val="false"/>
                <w:bCs w:val="false"/>
              </w:rPr>
              <w:t xml:space="preserve">Conversation log Sec.7</w:t>
            </w:r>
          </w:p>
        </w:tc>
      </w:tr>
      <w:tr>
        <w:tc>
          <w:tcPr>
            <w:tcW w:type="dxa" w:w="3200"/>
            <w:tcMar>
              <w:top w:type="dxa" w:w="60"/>
              <w:left w:type="dxa" w:w="100"/>
              <w:bottom w:type="dxa" w:w="60"/>
              <w:right w:type="dxa" w:w="100"/>
            </w:tcMar>
          </w:tcPr>
          <w:p>
            <w:pPr>
              <w:jc w:val="left"/>
            </w:pPr>
            <w:r>
              <w:rPr>
                <w:b w:val="false"/>
                <w:bCs w:val="false"/>
              </w:rPr>
              <w:t xml:space="preserve">Channel height h=5.0 mm</w:t>
            </w:r>
          </w:p>
        </w:tc>
        <w:tc>
          <w:tcPr>
            <w:tcW w:type="dxa" w:w="3300"/>
            <w:tcMar>
              <w:top w:type="dxa" w:w="60"/>
              <w:left w:type="dxa" w:w="100"/>
              <w:bottom w:type="dxa" w:w="60"/>
              <w:right w:type="dxa" w:w="100"/>
            </w:tcMar>
          </w:tcPr>
          <w:p>
            <w:pPr>
              <w:jc w:val="left"/>
            </w:pPr>
            <w:r>
              <w:rPr>
                <w:b w:val="false"/>
                <w:bCs w:val="false"/>
              </w:rPr>
              <w:t xml:space="preserve">Chosen to keep δ/h &lt; 0.3 per scale-effect gate</w:t>
            </w:r>
          </w:p>
        </w:tc>
        <w:tc>
          <w:tcPr>
            <w:tcW w:type="dxa" w:w="2500"/>
            <w:tcMar>
              <w:top w:type="dxa" w:w="60"/>
              <w:left w:type="dxa" w:w="100"/>
              <w:bottom w:type="dxa" w:w="60"/>
              <w:right w:type="dxa" w:w="100"/>
            </w:tcMar>
          </w:tcPr>
          <w:p>
            <w:pPr>
              <w:jc w:val="left"/>
            </w:pPr>
            <w:r>
              <w:rPr>
                <w:b w:val="false"/>
                <w:bCs w:val="false"/>
              </w:rPr>
              <w:t xml:space="preserve">Ref. doc Sec.6.2</w:t>
            </w:r>
          </w:p>
        </w:tc>
      </w:tr>
      <w:tr>
        <w:tc>
          <w:tcPr>
            <w:tcW w:type="dxa" w:w="3200"/>
            <w:tcMar>
              <w:top w:type="dxa" w:w="60"/>
              <w:left w:type="dxa" w:w="100"/>
              <w:bottom w:type="dxa" w:w="60"/>
              <w:right w:type="dxa" w:w="100"/>
            </w:tcMar>
          </w:tcPr>
          <w:p>
            <w:pPr>
              <w:jc w:val="left"/>
            </w:pPr>
            <w:r>
              <w:rPr>
                <w:b w:val="false"/>
                <w:bCs w:val="false"/>
              </w:rPr>
              <w:t xml:space="preserve">O-ring, thread, and fastener sizes throughout</w:t>
            </w:r>
          </w:p>
        </w:tc>
        <w:tc>
          <w:tcPr>
            <w:tcW w:type="dxa" w:w="3300"/>
            <w:tcMar>
              <w:top w:type="dxa" w:w="60"/>
              <w:left w:type="dxa" w:w="100"/>
              <w:bottom w:type="dxa" w:w="60"/>
              <w:right w:type="dxa" w:w="100"/>
            </w:tcMar>
          </w:tcPr>
          <w:p>
            <w:pPr>
              <w:jc w:val="left"/>
            </w:pPr>
            <w:r>
              <w:rPr>
                <w:b w:val="false"/>
                <w:bCs w:val="false"/>
              </w:rPr>
              <w:t xml:space="preserve">Reasonable placeholders — verify against real hardware before ordering</w:t>
            </w:r>
          </w:p>
        </w:tc>
        <w:tc>
          <w:tcPr>
            <w:tcW w:type="dxa" w:w="2500"/>
            <w:tcMar>
              <w:top w:type="dxa" w:w="60"/>
              <w:left w:type="dxa" w:w="100"/>
              <w:bottom w:type="dxa" w:w="60"/>
              <w:right w:type="dxa" w:w="100"/>
            </w:tcMar>
          </w:tcPr>
          <w:p>
            <w:pPr>
              <w:jc w:val="left"/>
            </w:pPr>
            <w:r>
              <w:rPr>
                <w:b w:val="false"/>
                <w:bCs w:val="false"/>
              </w:rPr>
              <w:t xml:space="preserve">This guide</w:t>
            </w:r>
          </w:p>
        </w:tc>
      </w:tr>
    </w:tbl>
    <w:p>
      <w:pPr>
        <w:spacing w:after="200"/>
      </w:pPr>
    </w:p>
    <w:p>
      <w:pPr>
        <w:spacing w:after="140"/>
      </w:pPr>
      <w:r>
        <w:rPr>
          <w:i/>
          <w:iCs/>
        </w:rPr>
        <w:t xml:space="preserve">None of this CAD replaces CFD (SolidWorks Flow Simulation) or cold-flow testing — both remain required before treating the spiral+vane concept as validated, per the project's own master checklist.</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Pintle Injector — SolidWorks Modeling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abstractNum w:abstractNumId="4" w15:restartNumberingAfterBreak="0">
    <w:multiLevelType w:val="hybridMultilevel"/>
    <w:lvl w:ilvl="0" w15:tentative="1">
      <w:start w:val="1"/>
      <w:numFmt w:val="decimal"/>
      <w:lvlText w:val="%1."/>
      <w:lvlJc w:val="left"/>
      <w:pPr>
        <w:ind w:left="500" w:hanging="260"/>
      </w:pPr>
    </w:lvl>
  </w:abstractNum>
  <w:abstractNum w:abstractNumId="5" w15:restartNumberingAfterBreak="0">
    <w:multiLevelType w:val="hybridMultilevel"/>
    <w:lvl w:ilvl="0" w15:tentative="1">
      <w:start w:val="1"/>
      <w:numFmt w:val="decimal"/>
      <w:lvlText w:val="%1."/>
      <w:lvlJc w:val="left"/>
      <w:pPr>
        <w:ind w:left="500" w:hanging="260"/>
      </w:pPr>
    </w:lvl>
  </w:abstractNum>
  <w:abstractNum w:abstractNumId="6" w15:restartNumberingAfterBreak="0">
    <w:multiLevelType w:val="hybridMultilevel"/>
    <w:lvl w:ilvl="0" w15:tentative="1">
      <w:start w:val="1"/>
      <w:numFmt w:val="decimal"/>
      <w:lvlText w:val="%1."/>
      <w:lvlJc w:val="left"/>
      <w:pPr>
        <w:ind w:left="500" w:hanging="260"/>
      </w:pPr>
    </w:lvl>
  </w:abstractNum>
  <w:abstractNum w:abstractNumId="7" w15:restartNumberingAfterBreak="0">
    <w:multiLevelType w:val="hybridMultilevel"/>
    <w:lvl w:ilvl="0" w15:tentative="1">
      <w:start w:val="1"/>
      <w:numFmt w:val="decimal"/>
      <w:lvlText w:val="%1."/>
      <w:lvlJc w:val="left"/>
      <w:pPr>
        <w:ind w:left="500" w:hanging="260"/>
      </w:pPr>
    </w:lvl>
  </w:abstractNum>
  <w:abstractNum w:abstractNumId="8" w15:restartNumberingAfterBreak="0">
    <w:multiLevelType w:val="hybridMultilevel"/>
    <w:lvl w:ilvl="0" w15:tentative="1">
      <w:start w:val="1"/>
      <w:numFmt w:val="decimal"/>
      <w:lvlText w:val="%1."/>
      <w:lvlJc w:val="left"/>
      <w:pPr>
        <w:ind w:left="500" w:hanging="260"/>
      </w:pPr>
    </w:lvl>
  </w:abstractNum>
  <w:abstractNum w:abstractNumId="9" w15:restartNumberingAfterBreak="0">
    <w:multiLevelType w:val="hybridMultilevel"/>
    <w:lvl w:ilvl="0" w15:tentative="1">
      <w:start w:val="1"/>
      <w:numFmt w:val="decimal"/>
      <w:lvlText w:val="%1."/>
      <w:lvlJc w:val="left"/>
      <w:pPr>
        <w:ind w:left="500" w:hanging="260"/>
      </w:pPr>
    </w:lvl>
  </w:abstractNum>
  <w:abstractNum w:abstractNumId="10" w15:restartNumberingAfterBreak="0">
    <w:multiLevelType w:val="hybridMultilevel"/>
    <w:lvl w:ilvl="0" w15:tentative="1">
      <w:start w:val="1"/>
      <w:numFmt w:val="decimal"/>
      <w:lvlText w:val="%1."/>
      <w:lvlJc w:val="left"/>
      <w:pPr>
        <w:ind w:left="500" w:hanging="260"/>
      </w:pPr>
    </w:lvl>
  </w:abstractNum>
  <w:abstractNum w:abstractNumId="11" w15:restartNumberingAfterBreak="0">
    <w:multiLevelType w:val="hybridMultilevel"/>
    <w:lvl w:ilvl="0" w15:tentative="1">
      <w:start w:val="1"/>
      <w:numFmt w:val="decimal"/>
      <w:lvlText w:val="%1."/>
      <w:lvlJc w:val="left"/>
      <w:pPr>
        <w:ind w:left="500" w:hanging="260"/>
      </w:pPr>
    </w:lvl>
  </w:abstractNum>
  <w:abstractNum w:abstractNumId="12"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2026-07-24T06:33:40.753Z</dcterms:created>
  <dcterms:modified xsi:type="dcterms:W3CDTF">2026-07-24T06:33:40.768Z</dcterms:modified>
</cp:coreProperties>
</file>

<file path=docProps/custom.xml><?xml version="1.0" encoding="utf-8"?>
<Properties xmlns="http://schemas.openxmlformats.org/officeDocument/2006/custom-properties" xmlns:vt="http://schemas.openxmlformats.org/officeDocument/2006/docPropsVTypes"/>
</file>