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ERP SYSTEM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Project Architecture &amp; Development Instructions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Microservices  ·  Event-Driven  ·  Multi-Tenant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24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Architecture Style: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• Microservices — each domain is an independently deployable service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• Event-Driven — async communication via Kafka message broker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• Multi-Tenant — schema-per-tenant isolation for all core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• Polyglot Persistence — each service owns its own database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• API Gateway — single entry point, all services hidden behind 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ERP system is built as a collection of independent microservices that communicate through an event bus (Kafka) and expose their capabilities via a single API Gateway. Each service is independently deployable, scalable, and owns its own database. External clients and third-party systems never interact with services directly — all traffic flows through the API Gateway.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Core Architecture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Microservices — 14 domain services, each with its own codebase, database, Dockerfile, and Helm chart.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Event-Driven — services communicate asynchronously via Kafka. No direct HTTP calls between services for business 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Multi-Tenant — tenant resolved at the API Gateway via JWT, enforced at the DB layer via Row-Level Security (RLS) or schema-per-tenant.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API Gateway is the only public entry point — all services run as Kubernetes ClusterIP (no public IP).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Polyglot Persistence — each service picks the database best suited to its workload.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Outbox Pattern — events are written to an outbox table in the same DB transaction as the business write, then relayed to Kafka. No lost events.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7.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Idempotent Consumers — every Kafka consumer must handle duplicate message delivery safely.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Domain Microservices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is composed of 14 independently deployable domain services. Each service owns its logic, database, and event contracts.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Service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 / Framework</w:t>
            </w:r>
          </w:p>
        </w:tc>
        <w:tc>
          <w:tcPr>
            <w:tcW w:type="dxa" w:w="4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Database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finance-svc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/ NestJS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apar-svc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/ NestJS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hr-svc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/ NestJS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/ Fiber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+ Redis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procurement-svc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 / Spring Boot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manufacturing-svc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 / Spring Boot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sales-svc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/ NestJS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+ Elasticsearch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/ NestJS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ClickHouse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/ NestJS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/ NestJS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files-svc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/ NestJS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S3 / MinIO + PostgreSQL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/ Fiber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Elasticsearch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integration-svc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/ NestJS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Service Independence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24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Golden Rules — every service MUST follow these: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1. Own codebase — separate folder or repo per service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2. Own database — NEVER share a database between two services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3. Own Dockerfile — builds and deploys independently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4. Own Helm chart — scales independently in Kubernetes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5. Own event contracts — publishes and subscribes to defined Kafka topics only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6. No direct DB queries to another service's database — ever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Service Communication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Async Communication — Kafka (default)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business-flow communication between services is asynchronous via Kafka. A service publishes an event and does not wait for a response. Subscribers react independently.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How Kafka works in this system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business event (e.g. sales.order.confirmed) is written to a named Kafka topic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Topics are split into partitions — messages with the same key (tenant_id + entity_id) always land on the same partition, preserving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subscriber service registers a unique Consumer Group ID — Kafka tracks each group's offset independently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 consumer crashes and restarts, it resumes from its last committed offset — no messages are lost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Kafka retains messages for 30 days — new services can replay history; broken services can reprocess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Sync Communication — gRPC (internal only)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queries that require an immediate response (e.g. workflow-svc checking approval status), services communicate via gRPC. This is internal only — never exposed to external clients. Proto definitions are versioned and stored per service.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Communication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 (Fire &amp; Forget)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notifications, no response needed. Publisher does not track what happens next.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Fan-out (1 → Many)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event triggers multiple independent reactions simultaneously. e.g. invoice.paid notifies AR, Sales, Notifications all at once.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Saga (Distributed Transaction)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Multi-step business process spanning multiple services. Each step publishes an event triggering the next. Failed steps emit compensating events to rollback.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CQRS (Read Model Projection)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Events projected into optimized read databases (ClickHouse) for analytics. Separates write DB from read DB entirely.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Key Domain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 → Key Subscribers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sales.order.confirmed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sales-svc → inventory-svc, mfg-svc, apar-svc, report-svc, audit-svc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stock.below.reorder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inventory-svc → procurement-svc, notification-svc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purchase.order.received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procurement-svc → inventory-svc, apar-svc, finance-svc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invoice.paid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finance-svc → apar-svc, sales-svc, integration-svc, notification-svc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payroll.processed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hr-svc → finance-svc, apar-svc, notification-svc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employee.terminated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hr-svc → workflow-svc, notification-svc, audit-svc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workflow.approval.needed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workflow-svc → notification-svc, audit-svc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*.* (all events)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services → report-svc, audit-svc (consume every event)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Idempotency — Handling Duplicate Events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Kafka guarantees at-least-once delivery. A message may be delivered more than once if a consumer crashes after processing but before committing its offset. Every consumer MUST be designed to be idempotent.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Required Idempotency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Apply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Idempotency Key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 purpose. Store event_id in a processed_events table. Check before processing. Insert in same transaction as the business write.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Natural Idempotency (ON CONFLICT DO NOTHING)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Insert operations. Use DB upsert so running the same insert twice has no effect.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Conditional Update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transitions. Only update if current state matches expected state (guard clause in WHERE).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 Sourcing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full audit trail is required. Append-only event log — replaying events is always safe.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24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Rule: never assume an event arrives exactly once.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Design every consumer as if it will receive the same message twice.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Financial transactions must use Idempotency Key + Conditional Update combined.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Data Layer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Database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 / Purpose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 core services — ACID transactions, RLS multi-tenant isolation, strong consistency. Primary operational DB.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notification-svc, integration-svc — variable schema (templates, webhook payloads), TTL indexes.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services — API response cache, session tokens, rate limiting, distributed locks, saga state.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sales-svc (full-text search), audit-svc (tamper-evident log queries).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ClickHouse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report-svc — columnar OLAP, sub-second analytics on billions of rows. CQRS read model.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S3 / MinIO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files-svc, hr-svc, audit-svc — object storage for documents, PDFs, archives.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Multi-Tenant Isolation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Schema-per-tenant (RECOMMENDED)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for all core services. Each tenant gets its own Postgres schema. Strong isolation, easy tenant migration, custom indexes per tenant.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Row-Level Security (RLS)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SaaS with many small tenants. All tenants share a schema, Postgres RLS policy filters by tenant_id automatically.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Database-per-tenant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 / regulated customers only. Maximum isolation but high infrastructure cost.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 table (tenant_id column)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Non-sensitive data only (logs, cache). Never use for core transactional data.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Data Flow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Write path: API Gateway validates JWT → service validates business rules → write to PostgreSQL (with outbox event in same transaction) → Kafka relay publishes event → Redis cache invalidated.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Read path: check Redis cache first → on miss, query PostgreSQL read replica (RLS enforced) → analytics queries go directly to ClickHouse.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CQRS projection: Kafka event → report-svc consumer → upsert into ClickHouse. Dashboards never query operational databases.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Backup: PostgreSQL WAL archiving to S3 + daily snapshots. Target RTO &lt; 1 hour, RPO &lt; 5 minutes.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Kafka log retention 30 days — any read model can be fully rebuilt by replaying all events from offset 0.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API Gateway &amp; Service Security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API Gateway (Kong)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external traffic enters through a single API Gateway. Microservices are not directly accessible from outside the Kubernetes cluster. The gateway handles authentication, tenant resolution, rate limiting, and routing.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Responsibility</w:t>
            </w:r>
          </w:p>
        </w:tc>
        <w:tc>
          <w:tcPr>
            <w:tcW w:type="dxa" w:w="6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Validation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 token signature and expiry before forwarding any request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 Resolution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 tenant_id from JWT, inject as X-Tenant-ID header to downstream service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1000 requests/minute per tenant by default, configurable per service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Routing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 /api/v1/finance/* to finance-svc, /api/v1/inventory/* to inventory-svc, etc.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Versioning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routes prefixed with /api/v1/ — version bump creates new route prefix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Configured per allowed origin, not wildcard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SSL/TLS Termination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TLS terminated at gateway, internal traffic over mTLS (Istio)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Four Layers of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Layer 1 — CDN / WAF: DDoS protection, bot filtering, OWASP ruleset, geo-blocking at the edge (Cloudflare + AWS WAF).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Layer 2 — API Gateway: JWT validation, rate limiting, tenant resolution. Request rejected here if token is invalid.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Layer 3 — Service-level auth: Every service independently re-validates the JWT. Services do not trust each other blindly — even internal calls must carry a valid token.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Layer 4 — Network isolation (Kubernetes): All services are ClusterIP — no public IP. Only the API Gateway has a public LoadBalancer IP.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mTLS (Istio Service Mesh)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internal service-to-service communication is encrypted and mutually authenticated via Istio. Each service sidecar (Envoy proxy) automatically handles certificate rotation. No plaintext traffic inside the cluster.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External Client Subscriptions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External clients and third-party systems subscribe to events via the API — they never connect to Kafka directly.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Webhooks (POST /api/v1/subscriptions)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 systems. Client registers a URL + HMAC secret. integration-svc POSTs events to the URL with signature verification.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Server-Sent Events (GET /api/v1/events/stream)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clients needing real-time updates. HTTP connection stays open, server pushes matching events as they fire.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(WS /api/v1/ws)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dashboards and trading-style interfaces. Client subscribes to topic list, server pushes events immediately.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Infrastructure &amp; Observability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Kubernetes Layout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runs on Kubernetes (EKS / GKE). Services are grouped into namespaces for isolation and access control.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6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erp-core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finance-svc, hr-svc, inventory-svc, sales-svc, procurement-svc, manufacturing-svc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erp-platform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workflow-svc, notification-svc, files-svc, audit-svc, integration-svc, report-svc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erp-infra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Kafka brokers, Zookeeper, Redis cluster, PostgreSQL instances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Prometheus, Grafana, Jaeger, Loki, Fluentd (DaemonSet)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gateway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Kong API Gateway, auth-svc, tenant-resolver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HashiCorp Vault, cert-manager, Istio control plane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CI/CD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Code push → PR checks (lint, unit tests, SAST scan)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Docker image built and tagged with git SHA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Integration tests run with real dependencies via Testcontainers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Security scan: CVE check (Trivy), secret detection (Snyk)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Image pushed to container registry (ECR / GCR)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ArgoCD deploys to staging namespace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7.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Canary deploy to production: 10% traffic → monitor SLOs → 100% or auto-rollback (Flagger)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Observability — Three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6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&amp; Key Metrics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Metrics (Prometheus + Grafana)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 method per service (Rate, Errors, Duration). Kafka consumer lag per group. DB query times. Business KPIs (orders/min, invoices processed).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Traces (Jaeger + OpenTelemetry)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Trace ID propagated through every service hop. Every DB call, Kafka publish, and external API call gets a span. 1% sampling + 100% of errors.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Logs (Loki + Fluentd)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JSON logs with service, tenant_id, trace_id, level. Correlated across pillars. No PII in logs (GDPR). 90-day retention.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Service Level Objectives (SLOs)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Tier</w:t>
            </w:r>
          </w:p>
        </w:tc>
        <w:tc>
          <w:tcPr>
            <w:tcW w:type="dxa" w:w="6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 / Latency p99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(finance, inventory, sales, apar)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99.9 – 99.95% uptime. p99 latency 150–300ms. Error budget ~21–43 min/month.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(hr, manufacturing, project)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99.5% uptime. p99 latency 500ms. Error budget ~3.6 hrs/month.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Best-effort (reporting, notifications)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99.0% uptime. p99 latency 1–2s. Error budget ~7.2 hrs/month.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finance-svc — Reference Implementation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finance-svc is the reference service showing how all other services should be structured internally. It implements Clean Architecture with four strict layers.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Internal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Layer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controllers, gRPC server, request validation (Zod), JWT middleware, tenant context injection, rate limiter, OpenAPI docs.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use case class per business operation: CreateJournalEntryUseCase, PostInvoiceUseCase, ReconcilePaymentUseCase, ClosePeriodUseCase, etc.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Layer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Pure business logic. Entities (Account, JournalEntry, Invoice, Budget). Value objects (Money, ExchangeRate, FiscalPeriod, TaxRule). Domain services (DoubleEntryValidator, PeriodClosurePolicy). ZERO infrastructure imports.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Infrastructure Layer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Implements domain interfaces: PostgresAccountRepo, KafkaEventPublisher, KafkaEventConsumer, OutboxRelay, RedisCache, VaultSecretLoader, ExchangeRateAPIAdapter.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Critical Domain Invariants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24"/>
              <w:bottom w:val="single" w:color="059669" w:sz="1"/>
              <w:right w:val="single" w:color="059669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finance-svc invariants that must NEVER be violated: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1. Sum of debits must always equal sum of credits in every journal entry (double-entry accounting)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2. Journal entries cannot be posted to a closed fiscal period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3. Once posted, a journal entry is immutable — create a reversal entry instead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4. All monetary amounts stored as NUMERIC(19,4) — never FLOAT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5. Multi-currency: always store both the original currency amount AND the base currency equivalent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Domain Modules in finance-svc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Entities &amp; Rules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Chart of Accounts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Account, AccountGroup, AccountType. Hierarchical. Normal balance (Dr/Cr) per type.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Journal Entry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JournalEntry (aggregate root), JournalLine. Invariant: ∑ Debits = ∑ Credits always.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Accounts Receivable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Invoice, Payment, CreditNote. Aging (30/60/90 days). Partial payments. Write-off policy.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Accounts Payable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VendorInvoice, PaymentRun, 3-Way Match (PO + Receipt + Invoice). Payment terms.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Multi-Currency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Money value object (amount + ISO currency). Realized/unrealized FX gain/loss. Daily rate feed.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Tax Engine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TaxRule, TaxCode, TaxJurisdiction. VAT/GST/Sales Tax. Input/output tax. Tax return periods.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Budgeting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Budget, BudgetLine, BudgetRevision. Variance analysis. Over-budget alerts.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Period Close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FiscalPeriod, CloseChecklist. Soft close vs hard close. Year-end retained earnings rollover.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Golden Rules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24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These rules apply to every service in the system: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ARCHITECTURE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1. One service = one domain = one database. Never share a database.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2. All external traffic goes through the API Gateway only. Services have no public IP.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3. Services never call each other's database directly — only via events or gRPC.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COMMUNICATION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4. Default to async (Kafka) for business flows. Use gRPC only for synchronous queries.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5. Use the Outbox Pattern for event publishing — write event in same DB transaction as the business operation.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6. Every Kafka consumer must be idempotent — safe to process the same message twice.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SECURITY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7. JWT validated at the API Gateway AND re-validated at every service.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8. Services run as ClusterIP (no public IP). mTLS for all internal traffic.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9. Secrets loaded from Vault at startup — never hardcoded, never in env files committed to Git.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10. tenant_id is always extracted from JWT — never trusted from request body.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11. Monetary values stored as NUMERIC(19,4) — never FLOAT.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  12. Analytics queries go to ClickHouse read models — never to operational databases.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BFDBFE" w:sz="4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64748B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4"/>
      </w:pBdr>
      <w:spacing w:after="120"/>
    </w:pPr>
    <w:r>
      <w:rPr>
        <w:rFonts w:ascii="Arial" w:cs="Arial" w:eastAsia="Arial" w:hAnsi="Arial"/>
        <w:b/>
        <w:bCs/>
        <w:color w:val="64748B"/>
        <w:sz w:val="18"/>
        <w:szCs w:val="18"/>
      </w:rPr>
      <w:t xml:space="preserve">ERP SYSTEM — PROJECT INSTRUCTIONS</w:t>
    </w:r>
    <w:r>
      <w:rPr>
        <w:rFonts w:ascii="Arial" w:cs="Arial" w:eastAsia="Arial" w:hAnsi="Arial"/>
        <w:color w:val="64748B"/>
        <w:sz w:val="18"/>
        <w:szCs w:val="18"/>
      </w:rPr>
      <w:t xml:space="preserve">   |   Microservices · Event-Driven · Multi-Tenant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2026-03-05T08:13:23.680Z</dcterms:created>
  <dcterms:modified xsi:type="dcterms:W3CDTF">2026-03-05T08:13:23.681Z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