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Validation Analyses 13–19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55A64"/>
          <w:sz w:val="30"/>
          <w:szCs w:val="30"/>
        </w:rPr>
        <w:t xml:space="preserve">Corporate Lobbying Network Research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8909C"/>
          <w:sz w:val="24"/>
          <w:szCs w:val="24"/>
        </w:rPr>
        <w:t xml:space="preserve">BCZ Structural Tests  |  116th Congress  |  111th–117th Stability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Prathit Kurup &amp; Victoria Figueroa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April 2026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78909C"/>
          <w:sz w:val="20"/>
          <w:szCs w:val="20"/>
        </w:rPr>
        <w:t xml:space="preserve">WHAT THESE ANALYSES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Question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Centrality vs Agenda-Setter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BCZ key-players match empirical agenda-setters?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Influencer Regression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firm-level covariates predict influencer status?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Cross-Sector Edges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does influence flow across community boundaries?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Within-Community Hierarchy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leads each sector, and is it stable 2009–2022?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Dynamics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influencer status stable within the 116th Congress?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Payoff Complementarity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high-RBO pairs increase spend when partners enter?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 Adoption Diffusion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followers adopt influencer bills faster if RBO is high?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seven validation analyses test the theoretical claims underlying the RBO directed influence network. The network is built on a single premise: a directed edge A → B means A is the net first-mover on shared bills, i.e., A sets the legislative agenda that B follows. The validations examine whether this operationalization corresponds to theoretically expected behavior in three registers: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Structure: Do firms that are structurally important in the BCZ sense (key players in the affiliation network) also function as temporal first-movers?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Stability: Is the influence hierarchy stable across sessions (2009–2022) and within sessions (quarter-by-quarter)?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Behavior: Do firms respond to their network partners in ways consistent with BCZ strategic complementarity — increasing spend and adopting bills when high-RBO partners act first?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analyses use the 116th Congress (2019–2020) as the primary cross-section. Stability analyses use the 111th–117th Congress panel. Community labels are the five Leiden communities from the 116th affiliation network: Finance/Insurance (0), Tech/Telecom (1), Defense/Industrial (2), Energy/Utilities (3), Health/Pharma (4).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Validation 13: Centrality vs. Agenda-Setter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We Tested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Whether firms identified as structurally important by BCZ-style centrality measures (BCZ intercentrality, global PageRank, within-community eigenvector, within-community PageRank on the bill-affiliation network) are also the empirical agenda-setters identified by the directed influence network (net_influence, net_strength, and within-community variants).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18"/>
              <w:bottom w:val="single" w:color="1976D2" w:sz="6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Research question: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 structural key-player status a reliable proxy for temporal agenda-setting? If BCZ centrality and net_influence rank the same firms, the theoretical framework has strong construct validity.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BCZ intercentrality computed via 277 node-removal Katz reruns (α = 0.85/spectral radius, unnormalized, consistent with BCZ single-parameter framework).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Within-community PageRank run on each of 5 Leiden community subgraphs.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Spearman ρ computed for all 14 centrality × agenda-setter pairs, full sample and top-30 restricted.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Top-30 overlap fraction = |top-30 centrality ∩ top-30 agenda| / 30.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Results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13_centrality_vs_agenda_setter_heatmap.png" descr="13_centrality_vs_agenda_setter_heatmap.png" title="13_centrality_vs_agenda_setter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13. Spearman ρ between centrality measures and agenda-setter measures. Left: full sample; Right: top-30 firms. Stars indicate p &lt; 0.05. WC PageRank shows strongest top-30 alignment.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100"/>
        <w:gridCol w:w="11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Centrality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Agenda Measure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ρ Full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ρ Top-30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Sig. (top-30)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BCZ Intercentrality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net_influence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−0.107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BCZ Intercentrality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net_strength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0.196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PageRank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net_influence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0.119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PageRank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net_strength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 (p=0.047)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 Eigenvector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net_influence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 PageRank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net_influence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 (p=0.005)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 PageRank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 net_influence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 (p=0.001)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 PageRank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 net_strength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 (p=0.002)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Structural key players ≠ temporal first-movers at the aggregate level. BCZ intercentrality is dominated by energy utilities (CMS Energy, DTE Energy, Exelon, Xcel) with large affiliation footprints; net_influence top-30 features diversified industrials (Cummins, Ball, Exxon, DTE). The full-sample correlations are all weakly positive but low (ρ ≈ 0.18–0.23).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Within-community PageRank is the exception: top-30 ρ with net_influence = 0.50 and with WC net_influence = 0.56 (both p ≤ 0.005). This suggests that a firm’s position within its own sector community — not its global centrality — better predicts agenda-setting. The framework’s intra-community dynamics are capturing something real; cross-community centrality is not.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Validation 14: Influencer Regression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We Tested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firm-level observable covariates predict influencer status (net_influence, net_strength, wc_net_strength, and binary top-quartile net_influence)? Tests whether lobbying scale, bill breadth, and structural centrality are the drivers of agenda-setting, or whether influence is orthogonal to observable firm characteristics.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18"/>
              <w:bottom w:val="single" w:color="1976D2" w:sz="6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Research question: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 agenda-setter status predictable from lobbying inputs (spend, breadth) and network position? Or does it reflect something structural/unobservable?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OLS cross-sections for 116th and 117th Congress independently. HC3 heteroskedasticity-robust SE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 A: net_influence ~ log_spend + log_bills + katz_centrality + participation_coeff.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 A2: top-quartile net_influence (binary LPM) — same regressors.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 B: net_strength (RBO-weighted directional score).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 C: wc_net_strength ~ wc_eigenvector + wc_pagerank (within-community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log_bills deduped on (uniq_id, fortune_name) to avoid per-bill double-counting. Centrality covariates from 116th affiliation network used as structural baseline for both congresses.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Results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14_influencer_regression_coefplot.png" descr="14_influencer_regression_coefplot.png" title="14_influencer_regression_coef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14. OLS coefficient plot for top-quartile net_influence (Spec A2), 116th and 117th Congress. Error bars = 95% CI (HC3). log_bills and log_spend replicate across both congresses.</w:t>
      </w:r>
    </w:p>
    <w:p>
      <w:pPr>
        <w:spacing w:after="80" w:before="8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60"/>
        <w:gridCol w:w="9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Significant Predictors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F-test 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(net_influence)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116th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(F p=0.068 marginal)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A2 (top-quartile LPM)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116th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log_bills *** , katz ** , log_spend 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A2 (top-quartile LPM)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117th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log_bills *** , log_spend 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(net_strength)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116th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 significant; log_spend marginal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(wc_net_strength)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116th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 significant; no individual sig.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 breadth (log_bills, β = 0.164***) is the dominant predictor of reaching top-quartile influencer status. Notably, log_spend is negatively signed (β = −0.039**): higher total spend is associated with lower probability of being a top-quartile agenda-setter. This is consistent with the interpretation that agenda-setters diversify across many lower-spend bills rather than concentrating resources. Katz centrality is significant in the 116th binary spec but not the continuous spec, suggesting a threshold rather than linear effect. Results replicate in the 117th Congress, supporting cross-session generalizability.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Validation 15: Cross-Sector Directed Edge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We Tested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influence flows across community boundaries. Are cross-sector directed edges systematically different from intra-sector edges in weight and temporal dominance? Which sectors are net cross-sector exporters of influence, and which firms bridge multiple communities?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18"/>
              <w:bottom w:val="single" w:color="1976D2" w:sz="6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Research question: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Does the directed influence network carry inter-sector agenda-setting signals, or is influence primarily contained within sectors?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 directed edges as intra-/cross-sector using 116th Leiden community labels (balanced=0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Mann-Whitney U tests on RBO weight and net_temporal for cross vs. intra-sector edges.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Community-pair flow matrix: directed edge counts and mean weights between all 5×5 sector pairs.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cross-sector influence (CS-NI) per firm: cross-sector first-mover wins minus losses.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Bridge firms: highest fraction of all edges that are cross-sector.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cross-sector dyads profiled by issue cosine similarity (76 OpenSecrets issue codes).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Results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1" name="15_cross_sector_flow_matrix.png" descr="15_cross_sector_flow_matrix.png" title="15_cross_sector_flow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15. Cross-sector directed edge counts by community pair. Diagonal = intra-sector. Defense/Industrial is the dominant cross-sector influencer.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directed edges (with community labels)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1,813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Cross-sector edges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783 (43.2%)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Intra-sector edges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1,030 (56.8%)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Cross-sector mean RBO weight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0.033 vs. 0.077 intra (MWU p=2.9×10⁻⁴⁵)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Cross-sector mean net_temporal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1.25 vs. 1.63 intra (MWU p=3.3×10⁻¹⁹)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Strongest cross-sector 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Defense → Health/Pharma (net +47 edges)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 strongest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Defense → Energy/Utilities (net +38 edges)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cross-sector influencer firm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Cummins (CS-NI = 48, from Defense)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cross-sector issue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 (federal budget) shared by Defense→Health dyads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Cross-sector edges are systematically weaker (lower RBO, lower net_temporal) than intra-sector edges — influence attenuates when crossing community boundaries, consistent with portfolio specialization. Defense/Industrial is the dominant cross-sector agenda-setter, particularly toward Health/Pharma (via shared federal budget legislation) and Energy/Utilities. Bridge firms with high cross-sector edge fractions (e.g., Cognizant, Thermo Fisher Scientific) tend to be diversified industrials spanning multiple legislative domains.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Validation 16: Within-Community Influencer Hierarchy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We Tested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 are the persistent within-sector agenda-setters across the seven congressional sessions (111th–117th, 2009–2022)? Is the hierarchy stable over time within each community?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18"/>
              <w:bottom w:val="single" w:color="1976D2" w:sz="6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Research question: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 agenda-setting a structural, persistent property of specific firms within their sectors, or does leadership cycle through the community?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Within-community net_influence per firm per congress: restricted to intra-community directed edges, using 116th Leiden partition as community proxy throughout all 7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Top-5 leaderboard per community per congress.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Kendall’s W (chi-squared approximation, Siegel &amp; Castellan 1988) on firms present in all 7 congresses.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Adjacent-congress Spearman ρ for year-over-year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Persistent leaders: firms in top-5 in ≥4 of 7 congresses.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Results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16_rank_stability_summary.png" descr="16_rank_stability_summary.png" title="16_rank_stability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16. Left: Kendall’s W by community (higher = more stable hierarchy). Right: Persistent leaders — firms in top-5 for ≥4 of 7 congresses. Energy/Utilities has by far the most stable leadership.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Stable Firms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Kendall’s 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Finance/Insurance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 but significant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Tech/Telecom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Significant concordance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Defense/Industrial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Significant concordance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Energy/Utilities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Highest concordance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Health/Pharma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significant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Community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Persistent Leaders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Energy/Utilities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Duke Energy, Xcel Energy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7/7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Energy/Utilities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Energy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5/7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Energy/Utilities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DTE Energy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Finance/Insurance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American Family Insurance 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5/7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Finance/Insurance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Northwestern Mutual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Health/Pharma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Energy/Utilities has the most stable hierarchy (W = 0.553, p &lt; 0.0001): Duke Energy and Xcel Energy appear in top-5 in all 7 congresses, reflecting the regulated utility sector’s stable legislative engagement profile. Health/Pharma is the most volatile community (W = 0.146, ns), with leadership cycling through biologics, insurance-adjacent, and specialty pharmacy firms as the legislative environment shifts. Community size matters: Health/Pharma’s 14-firm stable set provides less statistical power for W.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Validation 17: Quarterly Dynamics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We Tested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Whether influencer status is stable within the 116th Congress (Q1–Q8, 2019–2020), or whether the top-10 net influencers change substantially quarter by quarter.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18"/>
              <w:bottom w:val="single" w:color="1976D2" w:sz="6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Research question: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 the congress-wide aggregate a fair summary of influence, or does the hierarchy shift enough within a session to undermine aggregation?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Recomputes the full RBO directed influence pipeline independently for each of Q1–Q8, restricted to that quarter’s report_type prefixes.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Within-quarter first-mover resolved by report_type ordinal (base report &lt; amendment). Balanced pairs excluded from net_influence.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Adjacent-quarter Jaccard similarity: |top-10(t) ∩ top-10(t+1)| / |top-10(t) ∪ top-10(t+1)|.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Spearman ρ on full net_influence ranks for all firms appearing in both quarters.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Focal firms: in top-10 in ≥3 quarters. Bump chart and z-scored heatmap produced.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Results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17_bump_chart_quarterly_influencers.png" descr="17_bump_chart_quarterly_influencers.png" title="17_bump_chart_quarterly_influenc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17a. Rank trajectories of the 10 focal firms (top-10 in ≥3 quarters) across Q1–Q8. Energy/Utilities firms dominate, clustered in 2020.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17_heatmap_quarterly_net_influence.png" descr="17_heatmap_quarterly_net_influence.png" title="17_heatmap_quarterly_net_infl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17b. Z-scored net_influence heatmap. Raw net_influence values annotated. Q1 is notably sparse; 2020 quarters (Q5–Q8) show higher Energy utility dominance.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1900"/>
        <w:gridCol w:w="1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Quarter 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Top-10 Intersection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Jaccard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Spearman 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Q1→Q2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0.296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Q2→Q3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0.548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Q3→Q4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0.176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Q4→Q5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Q5→Q6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0.461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Q6→Q7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0.443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Q7→Q8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0.446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Influencer status is partially stable within the congress: all adjacent-quarter Spearman correlations are significant (mean ρ = 0.446), but top-10 membership turns over meaningfully (mean Jaccard = 0.30). Q1 is structurally distinct — it shows zero top-10 overlap with Q2, likely because Q1 2019 has the smallest network (211 firms) and fewer shared bills. The congress-wide aggregate is appropriate as the primary analytical unit, and the partial stability validates the aggregation. 8 of the 10 focal firms are Energy/Utilities, clustered in late 2019 through mid-2020.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Validation 18: Payoff Complementarity Test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We Tested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Whether firm i increases lobbying spend on bill b when RBO-linked firm j newly enters bill b, and whether that response is larger for high-RBO pairs. This is the micro-level behavioral prediction of BCZ strategic complementarity: best-response spending increases in partner spending, amplified by the complementarity parameter (here proxied by RBO edge weight).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18"/>
              <w:bottom w:val="single" w:color="1976D2" w:sz="6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BCZ prediction: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 a BCZ game, the equilibrium action of each player increases in partners’ actions, weighted by the complementarity parameter βᵢⱼ. High RBO ≈ high βᵢⱼ → larger cross-partial derivative → stronger spending response.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Specification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Δlog_spendᵢᵇₜ₊₁ = β₁ entry_jᵇₜ + β₂ rboᵢⱼ + β₃ (entry_jᵇₜ × rboᵢⱼ) + αᵢᵇ + γₜ + ε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entry_j = 1 if quarter t is firm j’s first quarter lobbying bill b (0 = continuing lobbyist).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includes ALL active firm_j on bill b at quarter t (not only entrants) — essential for within-group variation in entry_j after firm-bill FE absorption.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αᵢᵇ = firm-bill fixed effects via within-transformation; γₜ = quarter fixed effects; HC3 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Results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18_payoff_complementarity_coefplot.png" descr="18_payoff_complementarity_coefplot.png" title="18_payoff_complementarity_coef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18. Left: β₃ (interaction) across Specs A, B, D. Right: β₁ (entry_j main effect). Only Spec B (high-RBO pairs, green) shows positive β₃, consistent with BCZ.</w:t>
      </w:r>
    </w:p>
    <w:p>
      <w:pPr>
        <w:spacing w:after="8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400"/>
        <w:gridCol w:w="1400"/>
        <w:gridCol w:w="1000"/>
        <w:gridCol w:w="1000"/>
        <w:gridCol w:w="20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β₃ coef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BCZ?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RBO-linked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67,194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(crowd-out)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High-RBO (≥ p75)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16,845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0.033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(p&lt;0.05)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Low-RBO (&lt; p25)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16,796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−8.001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2.979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0.007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(scale tiny)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pairs (rbo=0)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147,341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(crowd-out)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BCZ payoff complementarity is present but concentrated at the high end of the RBO distribution (Spec B, top-quartile pairs). For the average pair, a co-lobbyist’s entry is associated with spending restraint (significantly negative β₁), possibly reflecting wait-and-see behavior or competitive positioning. Only among the most structurally similar firms (top-quartile RBO weight ≥ 0.131) does a partner’s entry trigger the additional spending amplification predicted by BCZ (β₃ = +0.147, p = 0.033). Spec C’s large negative coefficient is an artifact of the tiny rbo scale in the low-RBO subsample; the predicted marginal effect at mean low-RBO weight is economically negligible.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Validation 19: Bill Adoption Diffusion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We Tested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Whether follower firm B is more likely to first lobby a bill X that influencer A has lobbied in a prior quarter, and whether that adoption probability is amplified for high-RBO (A, B) pairs. This tests whether the directed RBO edge captures actual agenda-setting diffusion: does A’s bill portfolio propagate to B?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18"/>
              <w:bottom w:val="single" w:color="1976D2" w:sz="6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Research question: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A→B is a directed influence edge and A newly enters bill X in quarter t, is B more likely to join X in quarters t+1 through t+3 when rbo_AB is high?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directed (A→B) edge (balanced=0 only), enumerate (A, B, bill) triples where A first lobbies bill X at quarter t and B had not yet lobbied X at or before t. N = 80,384 candidate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Outcome: binary B adopts bill X within k quarters of A (k = 1, 2,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 observability: excluded when a_entry_q + k &gt;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Logit and LPM: log(rbo), log(n_firms_bill), a_net_influence, b_net_influence, a_entry_q_norm.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Unique-entry robustness: restricts to bills where A is sole first-entrant (∼25K rows), isolating cases where B can attribute the signal to A specifically.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Results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19_adoption_curve_by_quartile.png" descr="19_adoption_curve_by_quartile.png" title="19_adoption_curve_by_quart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Figure 19. Left: Adoption rate by RBO quartile across Q+1, Q+2, Q+3 horizons. Q4 (high-RBO) consistently adopts faster. Right: Q+3 adoption rates by quartile with 95% CI — Q4 adopts at 2.1× the rate of Q1.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800"/>
        <w:gridCol w:w="1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Q4 (high RBO)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 (low RBO)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χ² 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2.23×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2.09×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2.13×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760"/>
        <w:gridCol w:w="1200"/>
        <w:gridCol w:w="2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log(rbo) coef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Unique-entry coef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Q+3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High-RBO followers adopt influencer bills at roughly 1.7–2.1× the rate of low-RBO followers, and this advantage is stable across all three horizons — it does not erode from Q+1 to Q+3. log(rbo_weight) is positive and significant (p &lt; 0.001) in every Logit and LPM spec, and replicates in the unique-entry robustness subset. This provides direct behavioral evidence that the RBO directed edge captures a real agenda-setting signal: B’s bill adoption is structurally shaped by A’s prior entry, amplified by their RBO similarity.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Together with Validation 18, this gives a two-level BCZ story: (1) high-RBO partners increase spending when the other enters (V18, Spec B), and (2) high-RBO followers are more likely to enter influencer bills (V19). Both effects operate in the same direction and reinforce the BCZ complementarity interpretation.</w:t>
      </w:r>
    </w:p>
    <w:p>
      <w:pPr>
        <w:pBdr>
          <w:bottom w:val="single" w:color="BDBDBD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Summary: What the Validations Establish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Central Finding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 – Centrality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 PageRank aligns with agenda-setting at top-30 (ρ=0.50–0.56); global/BCZ measures do not.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– Regression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 breadth predicts top-quartile status (***); spend is negatively associated (**). Replicates 116th→117th.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– Cross-sector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Cross-sector edges are systematically weaker. Defense/Industrial dominates cross-sector influence.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– Hierarchy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Energy/Utilities is the most stable community (W=0.55); Duke &amp; Xcel lead all 7 congresses. Health/Pharma volatile.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– Quarterly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Congress-wide aggregate is appropriate (all Spearman ρ significant); Q1 is an outlier (Jaccard=0).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 – Complementarity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BCZ complementarity holds for top-quartile RBO pairs only (β₃=+0.147, p=0.033); crowd-out for average pairs.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Conditional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 – Bill adoption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High-RBO followers adopt influencer bills at 1.7–2.1× rate; stable over Q+1–Q+3; replicates in unique-entry sample.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Strongly supported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strongest evidence for the BCZ framework comes from Validations 18 and 19, which document behavioral responses to network structure. The centrality-agenda disconnect (V13) is theoretically important: it shows that the RBO directed network captures something distinct from standard network centrality, namely the temporal dynamics of bill adoption rather than static affiliation.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Confidential  | 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BDBD" w:sz="4" w:space="4"/>
      </w:pBdr>
      <w:tabs>
        <w:tab w:val="right" w:pos="8640"/>
      </w:tabs>
      <w:spacing w:after="120"/>
    </w:pPr>
    <w:r>
      <w:rPr>
        <w:rFonts w:ascii="Arial" w:cs="Arial" w:eastAsia="Arial" w:hAnsi="Arial"/>
        <w:color w:val="757575"/>
        <w:sz w:val="18"/>
        <w:szCs w:val="18"/>
      </w:rPr>
      <w:t xml:space="preserve">Lobbying Networks Research  |  Validations 13–19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757575"/>
        <w:sz w:val="18"/>
        <w:szCs w:val="18"/>
      </w:rPr>
      <w:t xml:space="preserve">Kurup &amp; Figueroa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1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1c24211c041e3a65cd72c87cdbcf73c1a10d28.png"/><Relationship Id="rId10" Type="http://schemas.openxmlformats.org/officeDocument/2006/relationships/image" Target="media/c6b39729784db847b05b1774e05aaf2bb5beada2.png"/><Relationship Id="rId11" Type="http://schemas.openxmlformats.org/officeDocument/2006/relationships/image" Target="media/81dcfc941e958ce765f7e82d546869af5d55b7e6.png"/><Relationship Id="rId12" Type="http://schemas.openxmlformats.org/officeDocument/2006/relationships/image" Target="media/8cfe86699f5c4c8180d3676de66824acbf2e4ea9.png"/><Relationship Id="rId13" Type="http://schemas.openxmlformats.org/officeDocument/2006/relationships/image" Target="media/730a8d0192f62388364abdcd1a9ee069b75c792c.png"/><Relationship Id="rId14" Type="http://schemas.openxmlformats.org/officeDocument/2006/relationships/image" Target="media/10c27ac27bcbc86b148f755e061882f8a402e067.png"/><Relationship Id="rId15" Type="http://schemas.openxmlformats.org/officeDocument/2006/relationships/image" Target="media/3367de78536e98ff01236eef4366a3cd0514ff34.png"/><Relationship Id="rId16" Type="http://schemas.openxmlformats.org/officeDocument/2006/relationships/image" Target="media/faae3f4d27c93092bc07d972d349127c777f29b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2026-04-17T19:12:59.678Z</dcterms:created>
  <dcterms:modified xsi:type="dcterms:W3CDTF">2026-04-17T19:12:59.679Z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