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880"/>
        <w:jc w:val="center"/>
      </w:pPr>
      <w:r>
        <w:rPr>
          <w:b/>
          <w:bCs/>
          <w:sz w:val="36"/>
          <w:szCs w:val="36"/>
        </w:rPr>
        <w:t xml:space="preserve">Cross-Congressional Stability of Directed RBO Influence Networks</w:t>
      </w:r>
    </w:p>
    <w:p>
      <w:pPr>
        <w:spacing w:after="160" w:before="0"/>
        <w:jc w:val="center"/>
      </w:pPr>
      <w:r>
        <w:rPr>
          <w:b/>
          <w:bCs/>
          <w:sz w:val="28"/>
          <w:szCs w:val="28"/>
        </w:rPr>
        <w:t xml:space="preserve">111th-117th Congress (2009-2022)</w:t>
      </w:r>
    </w:p>
    <w:p>
      <w:pPr>
        <w:spacing w:after="480" w:before="0"/>
        <w:jc w:val="center"/>
      </w:pPr>
      <w:r>
        <w:rPr>
          <w:sz w:val="24"/>
          <w:szCs w:val="24"/>
        </w:rPr>
        <w:t xml:space="preserve">Fortune 500 firms present in all seven sessions  (n = 135 stable firms)</w:t>
      </w:r>
    </w:p>
    <w:p/>
    <w:p>
      <w:pPr>
        <w:pStyle w:val="Heading1"/>
      </w:pPr>
      <w:r>
        <w:rPr>
          <w:b/>
          <w:bCs/>
        </w:rPr>
        <w:t xml:space="preserve">1. Overview</w:t>
      </w:r>
    </w:p>
    <w:p>
      <w:r>
        <w:rPr>
          <w:sz w:val="22"/>
          <w:szCs w:val="22"/>
        </w:rPr>
        <w:t xml:space="preserve">This document reports four stability analyses of the RBO directed influence network across seven consecutive congressional sessions (111th-117th Congress, 2009-2022). The analysis restricts to the </w:t>
      </w:r>
      <w:r>
        <w:rPr>
          <w:b/>
          <w:bCs/>
          <w:sz w:val="22"/>
          <w:szCs w:val="22"/>
        </w:rPr>
        <w:t xml:space="preserve">135 Fortune 500 firms</w:t>
      </w:r>
      <w:r>
        <w:rPr>
          <w:sz w:val="22"/>
          <w:szCs w:val="22"/>
        </w:rPr>
        <w:t xml:space="preserve"> present in the directed influence graph in all seven sessions (the </w:t>
      </w:r>
      <w:r>
        <w:rPr>
          <w:b/>
          <w:bCs/>
          <w:sz w:val="22"/>
          <w:szCs w:val="22"/>
        </w:rPr>
        <w:t xml:space="preserve">stable set</w:t>
      </w:r>
      <w:r>
        <w:rPr>
          <w:sz w:val="22"/>
          <w:szCs w:val="22"/>
        </w:rPr>
        <w:t xml:space="preserve">). The RBO-directed influence edge between two firms is drawn when both lobbied on at least one common bill; the temporal direction is assigned to the firm that first filed that bill in its lobbying report. Four properties are tested: (1) direction consistency of pairwise edges, (2) magnitude stability of the net temporal score per pair, (3) firm-level net_influence rank stability, and (4) firm-level net_strength rank stability.</w:t>
      </w:r>
    </w:p>
    <w:p/>
    <w:p>
      <w:pPr>
        <w:pStyle w:val="Heading1"/>
      </w:pPr>
      <w:r>
        <w:rPr>
          <w:b/>
          <w:bCs/>
        </w:rPr>
        <w:t xml:space="preserve">2. Network Coverage</w:t>
      </w:r>
    </w:p>
    <w:p>
      <w:r>
        <w:rPr>
          <w:sz w:val="22"/>
          <w:szCs w:val="22"/>
        </w:rPr>
        <w:t xml:space="preserve">Table 1 summarises the number of Fortune 500 firms, total edges, directed edges, and balanced (tied) pairs for each congress.</w:t>
      </w:r>
    </w:p>
    <w:p/>
    <w:p>
      <w:r>
        <w:rPr>
          <w:b/>
          <w:bCs/>
          <w:sz w:val="22"/>
          <w:szCs w:val="22"/>
        </w:rPr>
        <w:t xml:space="preserve">Table 1. Per-congress network coverage (stable-set firms)</w:t>
      </w:r>
    </w:p>
    <w:p/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100"/>
        <w:gridCol w:w="1500"/>
        <w:gridCol w:w="1500"/>
        <w:gridCol w:w="1640"/>
      </w:tblGrid>
      <w:tr>
        <w:trPr>
          <w:tblHeader/>
        </w:trPr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Congress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Firms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Total edges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Directed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Balanced pairs</w:t>
            </w:r>
          </w:p>
        </w:tc>
      </w:tr>
      <w:tr>
        <w:trPr>
          <w:tblHeader w:val="false"/>
        </w:trPr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111th (2009-10)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246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6,165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3,837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1,164</w:t>
            </w:r>
          </w:p>
        </w:tc>
      </w:tr>
      <w:tr>
        <w:trPr>
          <w:tblHeader w:val="false"/>
        </w:trPr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112th (2011-12)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253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6,267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3,529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1,369</w:t>
            </w:r>
          </w:p>
        </w:tc>
      </w:tr>
      <w:tr>
        <w:trPr>
          <w:tblHeader w:val="false"/>
        </w:trPr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113th (2013-14)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259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6,148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3,445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1,351</w:t>
            </w:r>
          </w:p>
        </w:tc>
      </w:tr>
      <w:tr>
        <w:trPr>
          <w:tblHeader w:val="false"/>
        </w:trPr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114th (2015-16)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257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7,418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4,215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1,601</w:t>
            </w:r>
          </w:p>
        </w:tc>
      </w:tr>
      <w:tr>
        <w:trPr>
          <w:tblHeader w:val="false"/>
        </w:trPr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115th (2017-18)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260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5,528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3,080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1,224</w:t>
            </w:r>
          </w:p>
        </w:tc>
      </w:tr>
      <w:tr>
        <w:trPr>
          <w:tblHeader w:val="false"/>
        </w:trPr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116th (2019-20)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259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3,869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1,890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989</w:t>
            </w:r>
          </w:p>
        </w:tc>
      </w:tr>
      <w:tr>
        <w:trPr>
          <w:tblHeader w:val="false"/>
        </w:trPr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117th (2021-22)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255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3,558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2,007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775</w:t>
            </w:r>
          </w:p>
        </w:tc>
      </w:tr>
    </w:tbl>
    <w:p/>
    <w:p>
      <w:r>
        <w:rPr>
          <w:sz w:val="22"/>
          <w:szCs w:val="22"/>
        </w:rPr>
        <w:t xml:space="preserve">The </w:t>
      </w:r>
      <w:r>
        <w:rPr>
          <w:b/>
          <w:bCs/>
          <w:sz w:val="22"/>
          <w:szCs w:val="22"/>
        </w:rPr>
        <w:t xml:space="preserve">stable set of 135 firms</w:t>
      </w:r>
      <w:r>
        <w:rPr>
          <w:sz w:val="22"/>
          <w:szCs w:val="22"/>
        </w:rPr>
        <w:t xml:space="preserve"> is the intersection of firms present in all seven sessions. Of the 6,783 canonical firm-pairs with at least one edge across any session, 277 appear in all seven sessions. Session-count distribution: 1:1978  2:1514  3:1176  4:868  5:618  6:352  7:277.</w:t>
      </w:r>
    </w:p>
    <w:p/>
    <w:p>
      <w:pPr>
        <w:pStyle w:val="Heading1"/>
      </w:pPr>
      <w:r>
        <w:rPr>
          <w:b/>
          <w:bCs/>
        </w:rPr>
        <w:t xml:space="preserve">3. Analysis 1 - Direction Consistency</w:t>
      </w:r>
    </w:p>
    <w:p>
      <w:r>
        <w:rPr>
          <w:b/>
          <w:bCs/>
          <w:sz w:val="22"/>
          <w:szCs w:val="22"/>
        </w:rPr>
        <w:t xml:space="preserve">Method.  </w:t>
      </w:r>
      <w:r>
        <w:rPr>
          <w:sz w:val="22"/>
          <w:szCs w:val="22"/>
        </w:rPr>
        <w:t xml:space="preserve">For each firm-pair that appears in directed form in at least two sessions, direction consistency is the fraction of directed sessions in which the same firm leads. A binomial test with H0: p = 0.5 assesses whether the observed consistency exceeds chance.</w:t>
      </w:r>
    </w:p>
    <w:p/>
    <w:p>
      <w:r>
        <w:rPr>
          <w:b/>
          <w:bCs/>
          <w:sz w:val="22"/>
          <w:szCs w:val="22"/>
        </w:rPr>
        <w:t xml:space="preserve">Results.  </w:t>
      </w:r>
      <w:r>
        <w:rPr>
          <w:sz w:val="22"/>
          <w:szCs w:val="22"/>
        </w:rPr>
        <w:t xml:space="preserve">Of the 2,830 firm-pairs with &gt;= 2 directed sessions, the mean consistency is 0.77 (median 0.75). 45.1% of pairs achieve &gt;= 0.80 consistency, and 41.2% are perfectly consistent (1.00) across all their directed sessions. Under the null, 73.9% of pairs show a majority direction vs. the expected 50%, indicating a strong directional hierarchy. Only 2.4% of pairs reach binomial significance (p &lt; 0.05) individually, consistent with the large number of low-frequency pairs.</w:t>
      </w:r>
    </w:p>
    <w:p/>
    <w:p>
      <w:r>
        <w:rPr>
          <w:b/>
          <w:bCs/>
          <w:sz w:val="22"/>
          <w:szCs w:val="22"/>
        </w:rPr>
        <w:t xml:space="preserve">Table 2. Top 10 most direction-consistent firm-pairs (n directed &gt;= 3)</w:t>
      </w:r>
    </w:p>
    <w:p/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100"/>
        <w:gridCol w:w="900"/>
        <w:gridCol w:w="124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Firm A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Firm B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Consistency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n (directed)</w:t>
            </w:r>
          </w:p>
        </w:tc>
        <w:tc>
          <w:tcPr>
            <w:tcW w:type="dxa" w:w="1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 (binomial)</w:t>
            </w:r>
          </w:p>
        </w:tc>
      </w:tr>
      <w:tr>
        <w:trPr>
          <w:tblHeader w:val="false"/>
        </w:trP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BALL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IBM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1.000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0.0312</w:t>
            </w:r>
          </w:p>
        </w:tc>
      </w:tr>
      <w:tr>
        <w:trPr>
          <w:tblHeader w:val="false"/>
        </w:trP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CHARLES SCHWAB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STATE FARM INSURANCE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1.000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0.1250</w:t>
            </w:r>
          </w:p>
        </w:tc>
      </w:tr>
      <w:tr>
        <w:trPr>
          <w:tblHeader w:val="false"/>
        </w:trP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CVS HEALTH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EBAY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1.000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0.1250</w:t>
            </w:r>
          </w:p>
        </w:tc>
      </w:tr>
      <w:tr>
        <w:trPr>
          <w:tblHeader w:val="false"/>
        </w:trP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BANK OF AMERICA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BEST BUY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1.000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0.1250</w:t>
            </w:r>
          </w:p>
        </w:tc>
      </w:tr>
      <w:tr>
        <w:trPr>
          <w:tblHeader w:val="false"/>
        </w:trP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BALL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USAA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1.000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0.1250</w:t>
            </w:r>
          </w:p>
        </w:tc>
      </w:tr>
      <w:tr>
        <w:trPr>
          <w:tblHeader w:val="false"/>
        </w:trP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CVS HEALTH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ELI LILLY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1.000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0.1250</w:t>
            </w:r>
          </w:p>
        </w:tc>
      </w:tr>
      <w:tr>
        <w:trPr>
          <w:tblHeader w:val="false"/>
        </w:trP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CVS HEALTH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INTEL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1.000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0.1250</w:t>
            </w:r>
          </w:p>
        </w:tc>
      </w:tr>
      <w:tr>
        <w:trPr>
          <w:tblHeader w:val="false"/>
        </w:trP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ALPHABET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HOME DEPOT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1.000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0.1250</w:t>
            </w:r>
          </w:p>
        </w:tc>
      </w:tr>
      <w:tr>
        <w:trPr>
          <w:tblHeader w:val="false"/>
        </w:trP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DEERE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LOCKHEED MARTIN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1.000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0.1250</w:t>
            </w:r>
          </w:p>
        </w:tc>
      </w:tr>
      <w:tr>
        <w:trPr>
          <w:tblHeader w:val="false"/>
        </w:trP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ALLSTATE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INTEL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1.000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0.1250</w:t>
            </w:r>
          </w:p>
        </w:tc>
      </w:tr>
    </w:tbl>
    <w:p/>
    <w:p>
      <w:r>
        <w:rPr>
          <w:sz w:val="22"/>
          <w:szCs w:val="22"/>
        </w:rPr>
        <w:t xml:space="preserve">BALL / IBM is the only pair with perfect consistency across five directed sessions and the only pair achieving binomial significance (p = 0.031).</w:t>
      </w:r>
    </w:p>
    <w:p/>
    <w:p>
      <w:pPr>
        <w:pStyle w:val="Heading1"/>
      </w:pPr>
      <w:r>
        <w:rPr>
          <w:b/>
          <w:bCs/>
        </w:rPr>
        <w:t xml:space="preserve">4. Analysis 2 - Magnitude Stability (net_temporal)</w:t>
      </w:r>
    </w:p>
    <w:p>
      <w:r>
        <w:rPr>
          <w:b/>
          <w:bCs/>
          <w:sz w:val="22"/>
          <w:szCs w:val="22"/>
        </w:rPr>
        <w:t xml:space="preserve">Method.  </w:t>
      </w:r>
      <w:r>
        <w:rPr>
          <w:sz w:val="22"/>
          <w:szCs w:val="22"/>
        </w:rPr>
        <w:t xml:space="preserve">For each firm-pair present in both congresses of a given pair, the net_temporal score (wins minus losses weighted by RBO similarity) is compared across sessions using Spearman rho. Kendall's W is computed for pairs with data in &gt;= 3 sessions.</w:t>
      </w:r>
    </w:p>
    <w:p/>
    <w:p>
      <w:r>
        <w:rPr>
          <w:b/>
          <w:bCs/>
          <w:sz w:val="22"/>
          <w:szCs w:val="22"/>
        </w:rPr>
        <w:t xml:space="preserve">Table 3. Pairwise Spearman rho matrix (net_temporal, stable-set pairs). * p &lt; 0.05</w:t>
      </w:r>
    </w:p>
    <w:p/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0"/>
        <w:gridCol w:w="870"/>
        <w:gridCol w:w="870"/>
        <w:gridCol w:w="870"/>
        <w:gridCol w:w="870"/>
        <w:gridCol w:w="870"/>
        <w:gridCol w:w="870"/>
      </w:tblGrid>
      <w:tr>
        <w:trPr>
          <w:tblHeader/>
        </w:trP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87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111</w:t>
            </w:r>
          </w:p>
        </w:tc>
        <w:tc>
          <w:tcPr>
            <w:tcW w:type="dxa" w:w="87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112</w:t>
            </w:r>
          </w:p>
        </w:tc>
        <w:tc>
          <w:tcPr>
            <w:tcW w:type="dxa" w:w="87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113</w:t>
            </w:r>
          </w:p>
        </w:tc>
        <w:tc>
          <w:tcPr>
            <w:tcW w:type="dxa" w:w="87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114</w:t>
            </w:r>
          </w:p>
        </w:tc>
        <w:tc>
          <w:tcPr>
            <w:tcW w:type="dxa" w:w="87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115</w:t>
            </w:r>
          </w:p>
        </w:tc>
        <w:tc>
          <w:tcPr>
            <w:tcW w:type="dxa" w:w="87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116</w:t>
            </w:r>
          </w:p>
        </w:tc>
        <w:tc>
          <w:tcPr>
            <w:tcW w:type="dxa" w:w="87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117</w:t>
            </w:r>
          </w:p>
        </w:tc>
      </w:tr>
      <w:tr>
        <w:trPr>
          <w:tblHeader w:val="false"/>
        </w:trP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111</w:t>
            </w:r>
          </w:p>
        </w:tc>
        <w:tc>
          <w:tcPr>
            <w:tcW w:type="dxa" w:w="87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1.000</w:t>
            </w:r>
          </w:p>
        </w:tc>
        <w:tc>
          <w:tcPr>
            <w:tcW w:type="dxa" w:w="87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0.101*</w:t>
            </w:r>
          </w:p>
        </w:tc>
        <w:tc>
          <w:tcPr>
            <w:tcW w:type="dxa" w:w="87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0.112*</w:t>
            </w:r>
          </w:p>
        </w:tc>
        <w:tc>
          <w:tcPr>
            <w:tcW w:type="dxa" w:w="87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0.074*</w:t>
            </w:r>
          </w:p>
        </w:tc>
        <w:tc>
          <w:tcPr>
            <w:tcW w:type="dxa" w:w="87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0.098*</w:t>
            </w:r>
          </w:p>
        </w:tc>
        <w:tc>
          <w:tcPr>
            <w:tcW w:type="dxa" w:w="87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0.124*</w:t>
            </w:r>
          </w:p>
        </w:tc>
        <w:tc>
          <w:tcPr>
            <w:tcW w:type="dxa" w:w="87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0.091*</w:t>
            </w:r>
          </w:p>
        </w:tc>
      </w:tr>
      <w:tr>
        <w:trPr>
          <w:tblHeader w:val="false"/>
        </w:trP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112</w:t>
            </w:r>
          </w:p>
        </w:tc>
        <w:tc>
          <w:tcPr>
            <w:tcW w:type="dxa" w:w="87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0.101*</w:t>
            </w:r>
          </w:p>
        </w:tc>
        <w:tc>
          <w:tcPr>
            <w:tcW w:type="dxa" w:w="87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1.000</w:t>
            </w:r>
          </w:p>
        </w:tc>
        <w:tc>
          <w:tcPr>
            <w:tcW w:type="dxa" w:w="87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0.070*</w:t>
            </w:r>
          </w:p>
        </w:tc>
        <w:tc>
          <w:tcPr>
            <w:tcW w:type="dxa" w:w="87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0.052*</w:t>
            </w:r>
          </w:p>
        </w:tc>
        <w:tc>
          <w:tcPr>
            <w:tcW w:type="dxa" w:w="87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0.074*</w:t>
            </w:r>
          </w:p>
        </w:tc>
        <w:tc>
          <w:tcPr>
            <w:tcW w:type="dxa" w:w="87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0.147*</w:t>
            </w:r>
          </w:p>
        </w:tc>
        <w:tc>
          <w:tcPr>
            <w:tcW w:type="dxa" w:w="87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0.089*</w:t>
            </w:r>
          </w:p>
        </w:tc>
      </w:tr>
      <w:tr>
        <w:trPr>
          <w:tblHeader w:val="false"/>
        </w:trP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113</w:t>
            </w:r>
          </w:p>
        </w:tc>
        <w:tc>
          <w:tcPr>
            <w:tcW w:type="dxa" w:w="87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0.112*</w:t>
            </w:r>
          </w:p>
        </w:tc>
        <w:tc>
          <w:tcPr>
            <w:tcW w:type="dxa" w:w="87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0.070*</w:t>
            </w:r>
          </w:p>
        </w:tc>
        <w:tc>
          <w:tcPr>
            <w:tcW w:type="dxa" w:w="87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1.000</w:t>
            </w:r>
          </w:p>
        </w:tc>
        <w:tc>
          <w:tcPr>
            <w:tcW w:type="dxa" w:w="87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0.119*</w:t>
            </w:r>
          </w:p>
        </w:tc>
        <w:tc>
          <w:tcPr>
            <w:tcW w:type="dxa" w:w="87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0.044</w:t>
            </w:r>
          </w:p>
        </w:tc>
        <w:tc>
          <w:tcPr>
            <w:tcW w:type="dxa" w:w="87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0.037</w:t>
            </w:r>
          </w:p>
        </w:tc>
        <w:tc>
          <w:tcPr>
            <w:tcW w:type="dxa" w:w="87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0.050</w:t>
            </w:r>
          </w:p>
        </w:tc>
      </w:tr>
      <w:tr>
        <w:trPr>
          <w:tblHeader w:val="false"/>
        </w:trP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114</w:t>
            </w:r>
          </w:p>
        </w:tc>
        <w:tc>
          <w:tcPr>
            <w:tcW w:type="dxa" w:w="87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0.074*</w:t>
            </w:r>
          </w:p>
        </w:tc>
        <w:tc>
          <w:tcPr>
            <w:tcW w:type="dxa" w:w="87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0.052*</w:t>
            </w:r>
          </w:p>
        </w:tc>
        <w:tc>
          <w:tcPr>
            <w:tcW w:type="dxa" w:w="87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0.119*</w:t>
            </w:r>
          </w:p>
        </w:tc>
        <w:tc>
          <w:tcPr>
            <w:tcW w:type="dxa" w:w="87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1.000</w:t>
            </w:r>
          </w:p>
        </w:tc>
        <w:tc>
          <w:tcPr>
            <w:tcW w:type="dxa" w:w="87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0.103*</w:t>
            </w:r>
          </w:p>
        </w:tc>
        <w:tc>
          <w:tcPr>
            <w:tcW w:type="dxa" w:w="87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0.088*</w:t>
            </w:r>
          </w:p>
        </w:tc>
        <w:tc>
          <w:tcPr>
            <w:tcW w:type="dxa" w:w="87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0.093*</w:t>
            </w:r>
          </w:p>
        </w:tc>
      </w:tr>
      <w:tr>
        <w:trPr>
          <w:tblHeader w:val="false"/>
        </w:trP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115</w:t>
            </w:r>
          </w:p>
        </w:tc>
        <w:tc>
          <w:tcPr>
            <w:tcW w:type="dxa" w:w="87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0.098*</w:t>
            </w:r>
          </w:p>
        </w:tc>
        <w:tc>
          <w:tcPr>
            <w:tcW w:type="dxa" w:w="87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0.074*</w:t>
            </w:r>
          </w:p>
        </w:tc>
        <w:tc>
          <w:tcPr>
            <w:tcW w:type="dxa" w:w="87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0.044</w:t>
            </w:r>
          </w:p>
        </w:tc>
        <w:tc>
          <w:tcPr>
            <w:tcW w:type="dxa" w:w="87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0.103*</w:t>
            </w:r>
          </w:p>
        </w:tc>
        <w:tc>
          <w:tcPr>
            <w:tcW w:type="dxa" w:w="87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1.000</w:t>
            </w:r>
          </w:p>
        </w:tc>
        <w:tc>
          <w:tcPr>
            <w:tcW w:type="dxa" w:w="87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0.074*</w:t>
            </w:r>
          </w:p>
        </w:tc>
        <w:tc>
          <w:tcPr>
            <w:tcW w:type="dxa" w:w="87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0.064*</w:t>
            </w:r>
          </w:p>
        </w:tc>
      </w:tr>
      <w:tr>
        <w:trPr>
          <w:tblHeader w:val="false"/>
        </w:trP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116</w:t>
            </w:r>
          </w:p>
        </w:tc>
        <w:tc>
          <w:tcPr>
            <w:tcW w:type="dxa" w:w="87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0.124*</w:t>
            </w:r>
          </w:p>
        </w:tc>
        <w:tc>
          <w:tcPr>
            <w:tcW w:type="dxa" w:w="87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0.147*</w:t>
            </w:r>
          </w:p>
        </w:tc>
        <w:tc>
          <w:tcPr>
            <w:tcW w:type="dxa" w:w="87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0.037</w:t>
            </w:r>
          </w:p>
        </w:tc>
        <w:tc>
          <w:tcPr>
            <w:tcW w:type="dxa" w:w="87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0.088*</w:t>
            </w:r>
          </w:p>
        </w:tc>
        <w:tc>
          <w:tcPr>
            <w:tcW w:type="dxa" w:w="87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0.074*</w:t>
            </w:r>
          </w:p>
        </w:tc>
        <w:tc>
          <w:tcPr>
            <w:tcW w:type="dxa" w:w="87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1.000</w:t>
            </w:r>
          </w:p>
        </w:tc>
        <w:tc>
          <w:tcPr>
            <w:tcW w:type="dxa" w:w="87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0.218*</w:t>
            </w:r>
          </w:p>
        </w:tc>
      </w:tr>
      <w:tr>
        <w:trPr>
          <w:tblHeader w:val="false"/>
        </w:trP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117</w:t>
            </w:r>
          </w:p>
        </w:tc>
        <w:tc>
          <w:tcPr>
            <w:tcW w:type="dxa" w:w="87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0.091*</w:t>
            </w:r>
          </w:p>
        </w:tc>
        <w:tc>
          <w:tcPr>
            <w:tcW w:type="dxa" w:w="87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0.089*</w:t>
            </w:r>
          </w:p>
        </w:tc>
        <w:tc>
          <w:tcPr>
            <w:tcW w:type="dxa" w:w="87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0.050</w:t>
            </w:r>
          </w:p>
        </w:tc>
        <w:tc>
          <w:tcPr>
            <w:tcW w:type="dxa" w:w="87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0.093*</w:t>
            </w:r>
          </w:p>
        </w:tc>
        <w:tc>
          <w:tcPr>
            <w:tcW w:type="dxa" w:w="87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0.064*</w:t>
            </w:r>
          </w:p>
        </w:tc>
        <w:tc>
          <w:tcPr>
            <w:tcW w:type="dxa" w:w="87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0.218*</w:t>
            </w:r>
          </w:p>
        </w:tc>
        <w:tc>
          <w:tcPr>
            <w:tcW w:type="dxa" w:w="87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1.000</w:t>
            </w:r>
          </w:p>
        </w:tc>
      </w:tr>
    </w:tbl>
    <w:p/>
    <w:p>
      <w:r>
        <w:rPr>
          <w:b/>
          <w:bCs/>
          <w:sz w:val="22"/>
          <w:szCs w:val="22"/>
        </w:rPr>
        <w:t xml:space="preserve">Results.  </w:t>
      </w:r>
      <w:r>
        <w:rPr>
          <w:sz w:val="22"/>
          <w:szCs w:val="22"/>
        </w:rPr>
        <w:t xml:space="preserve">All pairwise Spearman correlations are statistically significant except some involving the 113th Congress. Correlations are low (range 0.037-0.218), indicating that the precise magnitude of the net temporal score per pair is not strongly conserved across sessions. The highest correlation is 116-117 (rho = 0.218). Kendall's W = 0.125 (p = 1.00, n = 3,291 pairs) is degenerate due to large-scale zero-imputation and should be discounted.</w:t>
      </w:r>
    </w:p>
    <w:p/>
    <w:p>
      <w:pPr>
        <w:pStyle w:val="Heading1"/>
      </w:pPr>
      <w:r>
        <w:rPr>
          <w:b/>
          <w:bCs/>
        </w:rPr>
        <w:t xml:space="preserve">5. Analysis 3 - Firm net_strength Rank Stability [PRIMARY]</w:t>
      </w:r>
    </w:p>
    <w:p>
      <w:r>
        <w:rPr>
          <w:b/>
          <w:bCs/>
          <w:sz w:val="22"/>
          <w:szCs w:val="22"/>
        </w:rPr>
        <w:t xml:space="preserve">Method.  </w:t>
      </w:r>
      <w:r>
        <w:rPr>
          <w:sz w:val="22"/>
          <w:szCs w:val="22"/>
        </w:rPr>
        <w:t xml:space="preserve">Each stable firm is ranked by net_influence (total firsts minus total losses) within each congress. Adjacent-congress Spearman rho is computed on the 135-firm rank vectors. Kendall's W measures concordance across all seven sessions.</w:t>
      </w:r>
    </w:p>
    <w:p/>
    <w:p>
      <w:r>
        <w:rPr>
          <w:b/>
          <w:bCs/>
          <w:sz w:val="22"/>
          <w:szCs w:val="22"/>
        </w:rPr>
        <w:t xml:space="preserve">Table 4. Adjacent-congress Spearman rho (net_influence ranks, n = 135 firms)</w:t>
      </w:r>
    </w:p>
    <w:p/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000"/>
        <w:gridCol w:w="800"/>
        <w:gridCol w:w="1240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Congress pair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rho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p-value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n</w:t>
            </w:r>
          </w:p>
        </w:tc>
        <w:tc>
          <w:tcPr>
            <w:tcW w:type="dxa" w:w="1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Sig. (p&lt;0.05)</w:t>
            </w:r>
          </w:p>
        </w:tc>
      </w:tr>
      <w:tr>
        <w:trPr>
          <w:tblHeader w:val="false"/>
        </w:trP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111-112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0.1998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0.0202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135</w:t>
            </w:r>
          </w:p>
        </w:tc>
        <w:tc>
          <w:tcPr>
            <w:tcW w:type="dxa" w:w="1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112-113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0.2987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0.0004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135</w:t>
            </w:r>
          </w:p>
        </w:tc>
        <w:tc>
          <w:tcPr>
            <w:tcW w:type="dxa" w:w="1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113-114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0.1340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0.1213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135</w:t>
            </w:r>
          </w:p>
        </w:tc>
        <w:tc>
          <w:tcPr>
            <w:tcW w:type="dxa" w:w="1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114-115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0.2855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0.0008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135</w:t>
            </w:r>
          </w:p>
        </w:tc>
        <w:tc>
          <w:tcPr>
            <w:tcW w:type="dxa" w:w="1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115-116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0.2465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0.0040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135</w:t>
            </w:r>
          </w:p>
        </w:tc>
        <w:tc>
          <w:tcPr>
            <w:tcW w:type="dxa" w:w="1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116-117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0.3104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0.0002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135</w:t>
            </w:r>
          </w:p>
        </w:tc>
        <w:tc>
          <w:tcPr>
            <w:tcW w:type="dxa" w:w="1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</w:tbl>
    <w:p/>
    <w:p>
      <w:r>
        <w:rPr>
          <w:b/>
          <w:bCs/>
          <w:sz w:val="22"/>
          <w:szCs w:val="22"/>
        </w:rPr>
        <w:t xml:space="preserve">Results.  </w:t>
      </w:r>
      <w:r>
        <w:rPr>
          <w:sz w:val="22"/>
          <w:szCs w:val="22"/>
        </w:rPr>
        <w:t xml:space="preserve">Five of six adjacent-congress pairs are statistically significant. The 113-114 transition is the only non-significant pair (rho = 0.134, p = 0.12). Kendall's W = 0.343 (p &lt; 0.0001, n = 135) confirms statistically significant global concordance: a stable tier of dominant agenda-setters and reactive followers persists across all seven sessions.</w:t>
      </w:r>
    </w:p>
    <w:p/>
    <w:p>
      <w:r>
        <w:rPr>
          <w:b/>
          <w:bCs/>
          <w:sz w:val="22"/>
          <w:szCs w:val="22"/>
        </w:rPr>
        <w:t xml:space="preserve">Table 5. Top 10 most consistently influential firms (mean net_influence, 111th-117th)</w:t>
      </w:r>
    </w:p>
    <w:p/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50"/>
        <w:gridCol w:w="650"/>
        <w:gridCol w:w="650"/>
        <w:gridCol w:w="650"/>
        <w:gridCol w:w="650"/>
        <w:gridCol w:w="650"/>
        <w:gridCol w:w="650"/>
        <w:gridCol w:w="85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Firm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111th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112th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113th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114th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115th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116th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117th</w:t>
            </w:r>
          </w:p>
        </w:tc>
        <w:tc>
          <w:tcPr>
            <w:tcW w:type="dxa" w:w="8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Mean</w:t>
            </w:r>
          </w:p>
        </w:tc>
      </w:tr>
      <w:tr>
        <w:trPr>
          <w:tblHeader w:val="false"/>
        </w:trP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LOCKHEED MARTIN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112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76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49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135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49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27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57</w:t>
            </w:r>
          </w:p>
        </w:tc>
        <w:tc>
          <w:tcPr>
            <w:tcW w:type="dxa" w:w="8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72.1</w:t>
            </w:r>
          </w:p>
        </w:tc>
      </w:tr>
      <w:tr>
        <w:trPr>
          <w:tblHeader w:val="false"/>
        </w:trP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IBM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144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81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41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59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48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8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59.4</w:t>
            </w:r>
          </w:p>
        </w:tc>
      </w:tr>
      <w:tr>
        <w:trPr>
          <w:tblHeader w:val="false"/>
        </w:trP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XCEL ENERGY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90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68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45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77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34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44</w:t>
            </w:r>
          </w:p>
        </w:tc>
        <w:tc>
          <w:tcPr>
            <w:tcW w:type="dxa" w:w="8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53.6</w:t>
            </w:r>
          </w:p>
        </w:tc>
      </w:tr>
      <w:tr>
        <w:trPr>
          <w:tblHeader w:val="false"/>
        </w:trP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CMS ENERGY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53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83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46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42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36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31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34</w:t>
            </w:r>
          </w:p>
        </w:tc>
        <w:tc>
          <w:tcPr>
            <w:tcW w:type="dxa" w:w="8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46.4</w:t>
            </w:r>
          </w:p>
        </w:tc>
      </w:tr>
      <w:tr>
        <w:trPr>
          <w:tblHeader w:val="false"/>
        </w:trP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DUKE ENERGY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90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81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42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27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27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41</w:t>
            </w:r>
          </w:p>
        </w:tc>
        <w:tc>
          <w:tcPr>
            <w:tcW w:type="dxa" w:w="8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45.4</w:t>
            </w:r>
          </w:p>
        </w:tc>
      </w:tr>
      <w:tr>
        <w:trPr>
          <w:tblHeader w:val="false"/>
        </w:trP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AT&amp;T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38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57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91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54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31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8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43.1</w:t>
            </w:r>
          </w:p>
        </w:tc>
      </w:tr>
      <w:tr>
        <w:trPr>
          <w:tblHeader w:val="false"/>
        </w:trP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DTE ENERGY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60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48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90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43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8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42.7</w:t>
            </w:r>
          </w:p>
        </w:tc>
      </w:tr>
      <w:tr>
        <w:trPr>
          <w:tblHeader w:val="false"/>
        </w:trP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MICROSOFT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96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-30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55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23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55</w:t>
            </w:r>
          </w:p>
        </w:tc>
        <w:tc>
          <w:tcPr>
            <w:tcW w:type="dxa" w:w="8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38.4</w:t>
            </w:r>
          </w:p>
        </w:tc>
      </w:tr>
      <w:tr>
        <w:trPr>
          <w:tblHeader w:val="false"/>
        </w:trP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NORTHWESTERN MUTUAL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27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35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44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76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55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8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38.3</w:t>
            </w:r>
          </w:p>
        </w:tc>
      </w:tr>
      <w:tr>
        <w:trPr>
          <w:tblHeader w:val="false"/>
        </w:trP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BOEING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58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41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68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49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33</w:t>
            </w:r>
          </w:p>
        </w:tc>
        <w:tc>
          <w:tcPr>
            <w:tcW w:type="dxa" w:w="8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37.7</w:t>
            </w:r>
          </w:p>
        </w:tc>
      </w:tr>
    </w:tbl>
    <w:p/>
    <w:p>
      <w:r>
        <w:rPr>
          <w:b/>
          <w:bCs/>
          <w:sz w:val="22"/>
          <w:szCs w:val="22"/>
        </w:rPr>
        <w:t xml:space="preserve">Table 6. Top 5 most consistently following firms (mean net_influence, 111th-117th)</w:t>
      </w:r>
    </w:p>
    <w:p/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50"/>
        <w:gridCol w:w="650"/>
        <w:gridCol w:w="650"/>
        <w:gridCol w:w="650"/>
        <w:gridCol w:w="650"/>
        <w:gridCol w:w="650"/>
        <w:gridCol w:w="650"/>
        <w:gridCol w:w="85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Firm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111th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112th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113th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114th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115th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116th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117th</w:t>
            </w:r>
          </w:p>
        </w:tc>
        <w:tc>
          <w:tcPr>
            <w:tcW w:type="dxa" w:w="8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Mean</w:t>
            </w:r>
          </w:p>
        </w:tc>
      </w:tr>
      <w:tr>
        <w:trPr>
          <w:tblHeader w:val="false"/>
        </w:trP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CONSOLIDATED EDISON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-114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-179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-17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-49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-10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-20</w:t>
            </w:r>
          </w:p>
        </w:tc>
        <w:tc>
          <w:tcPr>
            <w:tcW w:type="dxa" w:w="8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-55.1</w:t>
            </w:r>
          </w:p>
        </w:tc>
      </w:tr>
      <w:tr>
        <w:trPr>
          <w:tblHeader w:val="false"/>
        </w:trP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AMEREN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-40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-60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-124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-34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-20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-60</w:t>
            </w:r>
          </w:p>
        </w:tc>
        <w:tc>
          <w:tcPr>
            <w:tcW w:type="dxa" w:w="8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-48.3</w:t>
            </w:r>
          </w:p>
        </w:tc>
      </w:tr>
      <w:tr>
        <w:trPr>
          <w:tblHeader w:val="false"/>
        </w:trP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CENTERPOINT ENERGY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-58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-101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35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-1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-95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-83</w:t>
            </w:r>
          </w:p>
        </w:tc>
        <w:tc>
          <w:tcPr>
            <w:tcW w:type="dxa" w:w="8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-43.0</w:t>
            </w:r>
          </w:p>
        </w:tc>
      </w:tr>
      <w:tr>
        <w:trPr>
          <w:tblHeader w:val="false"/>
        </w:trP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ALLY FINANCIAL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-99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-135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-33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-7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8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-38.3</w:t>
            </w:r>
          </w:p>
        </w:tc>
      </w:tr>
      <w:tr>
        <w:trPr>
          <w:tblHeader w:val="false"/>
        </w:trP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BAXTER INTERNATIONAL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-50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-9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-15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-48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-12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-6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-8</w:t>
            </w:r>
          </w:p>
        </w:tc>
        <w:tc>
          <w:tcPr>
            <w:tcW w:type="dxa" w:w="8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-21.1</w:t>
            </w:r>
          </w:p>
        </w:tc>
      </w:tr>
    </w:tbl>
    <w:p/>
    <w:p>
      <w:r>
        <w:rPr>
          <w:sz w:val="22"/>
          <w:szCs w:val="22"/>
        </w:rPr>
        <w:t xml:space="preserve">Lockheed Martin (mean 72.1) and IBM (59.4) are the most persistently dominant firms. Xcel Energy, CMS Energy, and Duke Energy follow, all electric utilities with long-horizon legislative agendas. Consolidated Edison (mean -55.1), Ameren (-48.3), and Centerpoint Energy (-43.0) are the most consistently reactive firms.</w:t>
      </w:r>
    </w:p>
    <w:p/>
    <w:p>
      <w:pPr>
        <w:pStyle w:val="Heading1"/>
      </w:pPr>
      <w:r>
        <w:rPr>
          <w:b/>
          <w:bCs/>
        </w:rPr>
        <w:t xml:space="preserve">6. Analysis 4 - Firm net_influence Rank Stability [REFERENCE]</w:t>
      </w:r>
    </w:p>
    <w:p>
      <w:r>
        <w:rPr>
          <w:b/>
          <w:bCs/>
          <w:sz w:val="22"/>
          <w:szCs w:val="22"/>
        </w:rPr>
        <w:t xml:space="preserve">Method.  </w:t>
      </w:r>
      <w:r>
        <w:rPr>
          <w:sz w:val="22"/>
          <w:szCs w:val="22"/>
        </w:rPr>
        <w:t xml:space="preserve">Mirrors Analysis 3 but ranks firms by net_influence (raw unweighted win/loss count) rather than RBO-weighted net_strength, providing a secondary reference metric.</w:t>
      </w:r>
    </w:p>
    <w:p/>
    <w:p>
      <w:r>
        <w:rPr>
          <w:b/>
          <w:bCs/>
          <w:sz w:val="22"/>
          <w:szCs w:val="22"/>
        </w:rPr>
        <w:t xml:space="preserve">Table 7. Adjacent-congress Spearman rho (net_strength ranks, n = 135 firms)</w:t>
      </w:r>
    </w:p>
    <w:p/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000"/>
        <w:gridCol w:w="800"/>
        <w:gridCol w:w="1240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Congress pair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rho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p-value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n</w:t>
            </w:r>
          </w:p>
        </w:tc>
        <w:tc>
          <w:tcPr>
            <w:tcW w:type="dxa" w:w="1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Sig. (p&lt;0.05)</w:t>
            </w:r>
          </w:p>
        </w:tc>
      </w:tr>
      <w:tr>
        <w:trPr>
          <w:tblHeader w:val="false"/>
        </w:trP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111-112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0.0600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0.4898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135</w:t>
            </w:r>
          </w:p>
        </w:tc>
        <w:tc>
          <w:tcPr>
            <w:tcW w:type="dxa" w:w="1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112-113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0.0716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0.4091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135</w:t>
            </w:r>
          </w:p>
        </w:tc>
        <w:tc>
          <w:tcPr>
            <w:tcW w:type="dxa" w:w="1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113-114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0.1189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0.1696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135</w:t>
            </w:r>
          </w:p>
        </w:tc>
        <w:tc>
          <w:tcPr>
            <w:tcW w:type="dxa" w:w="1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114-115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0.2500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0.0035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135</w:t>
            </w:r>
          </w:p>
        </w:tc>
        <w:tc>
          <w:tcPr>
            <w:tcW w:type="dxa" w:w="1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115-116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0.1971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0.0219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135</w:t>
            </w:r>
          </w:p>
        </w:tc>
        <w:tc>
          <w:tcPr>
            <w:tcW w:type="dxa" w:w="1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116-117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0.1791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0.0376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135</w:t>
            </w:r>
          </w:p>
        </w:tc>
        <w:tc>
          <w:tcPr>
            <w:tcW w:type="dxa" w:w="1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</w:tbl>
    <w:p/>
    <w:p>
      <w:r>
        <w:rPr>
          <w:b/>
          <w:bCs/>
          <w:sz w:val="22"/>
          <w:szCs w:val="22"/>
        </w:rPr>
        <w:t xml:space="preserve">Results.  </w:t>
      </w:r>
      <w:r>
        <w:rPr>
          <w:sz w:val="22"/>
          <w:szCs w:val="22"/>
        </w:rPr>
        <w:t xml:space="preserve">Only the three most recent transitions (114-115, 115-116, 116-117) reach significance. Kendall's W = 0.273 (p &lt; 0.0001, n = 135) confirms global concordance at a somewhat lower level than the unweighted net_influence measure. Xcel Energy leads on net_strength (mean 2.21) ahead of Lockheed Martin (2.05) and Duke Energy (1.80), reflecting that these utilities' agenda-setting edges are concentrated on high-overlap bill pairs.</w:t>
      </w:r>
    </w:p>
    <w:p/>
    <w:p>
      <w:r>
        <w:rPr>
          <w:b/>
          <w:bCs/>
          <w:sz w:val="22"/>
          <w:szCs w:val="22"/>
        </w:rPr>
        <w:t xml:space="preserve">Table 8. Top 10 highest mean net_strength firms (111th-117th)</w:t>
      </w:r>
    </w:p>
    <w:p/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50"/>
        <w:gridCol w:w="650"/>
        <w:gridCol w:w="650"/>
        <w:gridCol w:w="650"/>
        <w:gridCol w:w="650"/>
        <w:gridCol w:w="650"/>
        <w:gridCol w:w="650"/>
        <w:gridCol w:w="85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Firm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111th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112th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113th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114th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115th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116th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117th</w:t>
            </w:r>
          </w:p>
        </w:tc>
        <w:tc>
          <w:tcPr>
            <w:tcW w:type="dxa" w:w="8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Mean</w:t>
            </w:r>
          </w:p>
        </w:tc>
      </w:tr>
      <w:tr>
        <w:trPr>
          <w:tblHeader w:val="false"/>
        </w:trP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XCEL ENERGY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4.103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2.247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1.825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3.865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1.253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1.122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1.082</w:t>
            </w:r>
          </w:p>
        </w:tc>
        <w:tc>
          <w:tcPr>
            <w:tcW w:type="dxa" w:w="8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2.214</w:t>
            </w:r>
          </w:p>
        </w:tc>
      </w:tr>
      <w:tr>
        <w:trPr>
          <w:tblHeader w:val="false"/>
        </w:trP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LOCKHEED MARTIN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3.353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1.608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2.067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3.165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0.914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0.318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2.950</w:t>
            </w:r>
          </w:p>
        </w:tc>
        <w:tc>
          <w:tcPr>
            <w:tcW w:type="dxa" w:w="8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2.054</w:t>
            </w:r>
          </w:p>
        </w:tc>
      </w:tr>
      <w:tr>
        <w:trPr>
          <w:tblHeader w:val="false"/>
        </w:trP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DUKE ENERGY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2.688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4.195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2.480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0.990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1.058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0.295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0.915</w:t>
            </w:r>
          </w:p>
        </w:tc>
        <w:tc>
          <w:tcPr>
            <w:tcW w:type="dxa" w:w="8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1.803</w:t>
            </w:r>
          </w:p>
        </w:tc>
      </w:tr>
      <w:tr>
        <w:trPr>
          <w:tblHeader w:val="false"/>
        </w:trP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MICROSOFT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0.793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3.857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-0.555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1.866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2.110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1.437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1.347</w:t>
            </w:r>
          </w:p>
        </w:tc>
        <w:tc>
          <w:tcPr>
            <w:tcW w:type="dxa" w:w="8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1.551</w:t>
            </w:r>
          </w:p>
        </w:tc>
      </w:tr>
      <w:tr>
        <w:trPr>
          <w:tblHeader w:val="false"/>
        </w:trP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NORTHWESTERN MUTUAL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0.191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1.096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1.496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3.558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1.551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1.437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0.737</w:t>
            </w:r>
          </w:p>
        </w:tc>
        <w:tc>
          <w:tcPr>
            <w:tcW w:type="dxa" w:w="8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1.438</w:t>
            </w:r>
          </w:p>
        </w:tc>
      </w:tr>
      <w:tr>
        <w:trPr>
          <w:tblHeader w:val="false"/>
        </w:trP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CMS ENERGY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1.661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1.368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2.022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1.684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0.724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1.761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0.438</w:t>
            </w:r>
          </w:p>
        </w:tc>
        <w:tc>
          <w:tcPr>
            <w:tcW w:type="dxa" w:w="8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1.380</w:t>
            </w:r>
          </w:p>
        </w:tc>
      </w:tr>
      <w:tr>
        <w:trPr>
          <w:tblHeader w:val="false"/>
        </w:trP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AT&amp;T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0.735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0.793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0.350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3.122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3.252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0.671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0.269</w:t>
            </w:r>
          </w:p>
        </w:tc>
        <w:tc>
          <w:tcPr>
            <w:tcW w:type="dxa" w:w="8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1.313</w:t>
            </w:r>
          </w:p>
        </w:tc>
      </w:tr>
      <w:tr>
        <w:trPr>
          <w:tblHeader w:val="false"/>
        </w:trP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DTE ENERGY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-0.924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1.377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1.195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3.293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0.967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0.703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1.568</w:t>
            </w:r>
          </w:p>
        </w:tc>
        <w:tc>
          <w:tcPr>
            <w:tcW w:type="dxa" w:w="8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1.169</w:t>
            </w:r>
          </w:p>
        </w:tc>
      </w:tr>
      <w:tr>
        <w:trPr>
          <w:tblHeader w:val="false"/>
        </w:trP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BOEING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3.209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0.753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0.503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1.806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0.620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0.121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0.691</w:t>
            </w:r>
          </w:p>
        </w:tc>
        <w:tc>
          <w:tcPr>
            <w:tcW w:type="dxa" w:w="8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1.100</w:t>
            </w:r>
          </w:p>
        </w:tc>
      </w:tr>
      <w:tr>
        <w:trPr>
          <w:tblHeader w:val="false"/>
        </w:trP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UNITED AIRLINES HOLDINGS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0.286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3.003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0.621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0.487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0.763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0.472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1.519</w:t>
            </w:r>
          </w:p>
        </w:tc>
        <w:tc>
          <w:tcPr>
            <w:tcW w:type="dxa" w:w="8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1.021</w:t>
            </w:r>
          </w:p>
        </w:tc>
      </w:tr>
    </w:tbl>
    <w:p/>
    <w:p>
      <w:r>
        <w:rPr>
          <w:b/>
          <w:bCs/>
          <w:sz w:val="22"/>
          <w:szCs w:val="22"/>
        </w:rPr>
        <w:t xml:space="preserve">Table 9. Top 5 lowest mean net_strength firms (111th-117th)</w:t>
      </w:r>
    </w:p>
    <w:p/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50"/>
        <w:gridCol w:w="650"/>
        <w:gridCol w:w="650"/>
        <w:gridCol w:w="650"/>
        <w:gridCol w:w="650"/>
        <w:gridCol w:w="650"/>
        <w:gridCol w:w="650"/>
        <w:gridCol w:w="85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Firm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111th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112th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113th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114th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115th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116th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117th</w:t>
            </w:r>
          </w:p>
        </w:tc>
        <w:tc>
          <w:tcPr>
            <w:tcW w:type="dxa" w:w="8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Mean</w:t>
            </w:r>
          </w:p>
        </w:tc>
      </w:tr>
      <w:tr>
        <w:trPr>
          <w:tblHeader w:val="false"/>
        </w:trP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ALLY FINANCIAL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-2.711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0.146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-2.813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-1.499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-1.050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-0.116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0.286</w:t>
            </w:r>
          </w:p>
        </w:tc>
        <w:tc>
          <w:tcPr>
            <w:tcW w:type="dxa" w:w="8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-1.108</w:t>
            </w:r>
          </w:p>
        </w:tc>
      </w:tr>
      <w:tr>
        <w:trPr>
          <w:tblHeader w:val="false"/>
        </w:trP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CENTERPOINT ENERGY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-0.710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-4.872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1.022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0.036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-0.064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-0.674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-1.389</w:t>
            </w:r>
          </w:p>
        </w:tc>
        <w:tc>
          <w:tcPr>
            <w:tcW w:type="dxa" w:w="8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-0.950</w:t>
            </w:r>
          </w:p>
        </w:tc>
      </w:tr>
      <w:tr>
        <w:trPr>
          <w:tblHeader w:val="false"/>
        </w:trP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CISCO SYSTEMS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-2.454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0.000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-3.024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1.832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-1.321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-1.624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0.090</w:t>
            </w:r>
          </w:p>
        </w:tc>
        <w:tc>
          <w:tcPr>
            <w:tcW w:type="dxa" w:w="8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-0.929</w:t>
            </w:r>
          </w:p>
        </w:tc>
      </w:tr>
      <w:tr>
        <w:trPr>
          <w:tblHeader w:val="false"/>
        </w:trP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CONSOLIDATED EDISON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-1.631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-2.733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0.352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-0.185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-0.583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0.110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-1.580</w:t>
            </w:r>
          </w:p>
        </w:tc>
        <w:tc>
          <w:tcPr>
            <w:tcW w:type="dxa" w:w="8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-0.893</w:t>
            </w:r>
          </w:p>
        </w:tc>
      </w:tr>
      <w:tr>
        <w:trPr>
          <w:tblHeader w:val="false"/>
        </w:trP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AMEREN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-0.204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0.268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-1.958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-1.828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-0.254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-0.582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-1.599</w:t>
            </w:r>
          </w:p>
        </w:tc>
        <w:tc>
          <w:tcPr>
            <w:tcW w:type="dxa" w:w="8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-0.880</w:t>
            </w:r>
          </w:p>
        </w:tc>
      </w:tr>
    </w:tbl>
    <w:p/>
    <w:p>
      <w:pPr>
        <w:pStyle w:val="Heading1"/>
      </w:pPr>
      <w:r>
        <w:rPr>
          <w:b/>
          <w:bCs/>
        </w:rPr>
        <w:t xml:space="preserve">7. Summary Figure</w:t>
      </w:r>
    </w:p>
    <w:p>
      <w:r>
        <w:rPr>
          <w:sz w:val="22"/>
          <w:szCs w:val="22"/>
        </w:rPr>
        <w:t xml:space="preserve">Figure 1 shows all four stability metrics in a single panel: (top-left) direction consistency distribution, (top-right) Analysis 2 Spearman rho heat-map, (bottom-left) Analysis 3 adjacent-congress Spearman bars, (bottom-right) Analysis 4 adjacent-congress Spearman bars.</w:t>
      </w:r>
    </w:p>
    <w:p/>
    <w:p>
      <w:pPr>
        <w:jc w:val="center"/>
      </w:pPr>
      <w:r>
        <w:drawing>
          <wp:inline distT="0" distB="0" distL="0" distR="0">
            <wp:extent cx="5143500" cy="4572000"/>
            <wp:effectExtent t="0" r="0" b="0" l="0"/>
            <wp:docPr id="1" name="StabilityFigure" descr="Four-panel stability summary" title="Stability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sz w:val="20"/>
          <w:szCs w:val="20"/>
        </w:rPr>
        <w:t xml:space="preserve">Figure 1. Cross-congressional stability -- 111th through 117th Congress.</w:t>
      </w:r>
    </w:p>
    <w:p/>
    <w:p>
      <w:pPr>
        <w:pStyle w:val="Heading1"/>
      </w:pPr>
      <w:r>
        <w:rPr>
          <w:b/>
          <w:bCs/>
        </w:rPr>
        <w:t xml:space="preserve">8. Conclusions</w:t>
      </w:r>
    </w:p>
    <w:p>
      <w:r>
        <w:rPr>
          <w:sz w:val="22"/>
          <w:szCs w:val="22"/>
        </w:rPr>
        <w:t xml:space="preserve">Across all four analyses, the RBO directed influence network exhibits </w:t>
      </w:r>
      <w:r>
        <w:rPr>
          <w:b/>
          <w:bCs/>
          <w:sz w:val="22"/>
          <w:szCs w:val="22"/>
        </w:rPr>
        <w:t xml:space="preserve">moderate but statistically robust structural stability</w:t>
      </w:r>
      <w:r>
        <w:rPr>
          <w:sz w:val="22"/>
          <w:szCs w:val="22"/>
        </w:rPr>
        <w:t xml:space="preserve"> over the 2009-2022 period. Direction consistency (mean 0.77) and the majority-direction rate (73.9%) indicate that the directional hierarchy between firm pairs is not random. Firm-level net_influence ranks achieve Kendall's W = 0.343 (p &lt; 0.0001), confirming a stable tier of dominant agenda-setters concentrated in defence contracting (Lockheed Martin, Boeing, General Dynamics), technology (IBM, Microsoft), and electric utilities (Xcel Energy, Duke Energy, CMS Energy). Net_strength ranks show lower but still significant global concordance (W = 0.273). The low magnitude correlations in Analysis 2 suggest that while directional structure and relative firm positions are stable, the precise intensity of any given pair's interaction varies session-to-session, consistent with issue-cycle-driven lobbying intensity rather than fixed bilateral relationships.</w:t>
      </w:r>
    </w:p>
    <w:p/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1"/>
      </w:pBdr>
    </w:pPr>
    <w:r>
      <w:rPr>
        <w:rFonts w:ascii="Arial" w:cs="Arial" w:eastAsia="Arial" w:hAnsi="Arial"/>
        <w:color w:val="1F4E79"/>
        <w:sz w:val="18"/>
        <w:szCs w:val="18"/>
      </w:rPr>
      <w:t xml:space="preserve">Cross-Congressional Stability -- RBO Directed Influence Network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1b6ae6783633b7c592832cae09b6d8e87b11cd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2026-04-16T21:45:22.156Z</dcterms:created>
  <dcterms:modified xsi:type="dcterms:W3CDTF">2026-04-16T21:45:22.157Z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