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2E4057"/>
          <w:sz w:val="52"/>
          <w:szCs w:val="52"/>
        </w:rPr>
        <w:t xml:space="preserve">Corporate Lobbying Networks</w:t>
      </w:r>
    </w:p>
    <w:p>
      <w:pPr>
        <w:spacing w:after="160" w:before="0"/>
        <w:jc w:val="center"/>
      </w:pPr>
      <w:r>
        <w:rPr>
          <w:rFonts w:ascii="Arial" w:cs="Arial" w:eastAsia="Arial" w:hAnsi="Arial"/>
          <w:color w:val="4A6FA5"/>
          <w:sz w:val="30"/>
          <w:szCs w:val="30"/>
        </w:rPr>
        <w:t xml:space="preserve">Analysis Report — Methods, Results, and Findings</w:t>
      </w:r>
    </w:p>
    <w:p>
      <w:pPr>
        <w:spacing w:after="160" w:before="0"/>
        <w:jc w:val="center"/>
      </w:pPr>
      <w:r>
        <w:rPr>
          <w:rFonts w:ascii="Arial" w:cs="Arial" w:eastAsia="Arial" w:hAnsi="Arial"/>
          <w:color w:val="666666"/>
          <w:sz w:val="22"/>
          <w:szCs w:val="22"/>
        </w:rPr>
        <w:t xml:space="preserve">RBO Directed Influence Network — 116th Congress (2019–2020)</w:t>
      </w:r>
    </w:p>
    <w:p>
      <w:pPr>
        <w:spacing w:after="80" w:before="0"/>
        <w:jc w:val="center"/>
      </w:pPr>
      <w:r>
        <w:rPr>
          <w:rFonts w:ascii="Arial" w:cs="Arial" w:eastAsia="Arial" w:hAnsi="Arial"/>
          <w:color w:val="888888"/>
          <w:sz w:val="20"/>
          <w:szCs w:val="20"/>
        </w:rPr>
        <w:t xml:space="preserve">Prathit Kurup  ·  April 2026</w:t>
      </w:r>
    </w:p>
    <w:p>
      <w:r>
        <w:br w:type="page"/>
      </w:r>
    </w:p>
    <w:p>
      <w:pPr>
        <w:pStyle w:val="Heading1"/>
        <w:spacing w:after="160" w:before="320"/>
      </w:pPr>
      <w:r>
        <w:rPr>
          <w:rFonts w:ascii="Arial" w:cs="Arial" w:eastAsia="Arial" w:hAnsi="Arial"/>
          <w:b/>
          <w:bCs/>
          <w:sz w:val="32"/>
          <w:szCs w:val="32"/>
        </w:rPr>
        <w:t xml:space="preserve">Project Overview</w:t>
      </w:r>
    </w:p>
    <w:p>
      <w:pPr>
        <w:spacing w:after="60" w:before="60"/>
      </w:pPr>
      <w:r>
        <w:rPr>
          <w:rFonts w:ascii="Arial" w:cs="Arial" w:eastAsia="Arial" w:hAnsi="Arial"/>
          <w:sz w:val="20"/>
          <w:szCs w:val="20"/>
        </w:rPr>
        <w:t xml:space="preserve">This report documents the methods and empirical results of eight focused analyses of the Fortune 500 corporate lobbying network during the 116th Congress (2019–2020), with cross-congressional stability extensions covering the 111th–117th Congress (2009–2022). The primary analytical instrument is the RBO directed influence network, in which each directed edge encodes both portfolio similarity (RBO weight) and temporal agenda-setting precedence (net_temporal).</w:t>
      </w:r>
    </w:p>
    <w:p>
      <w:pPr>
        <w:spacing w:after="80" w:before="80"/>
      </w:pPr>
      <w:r>
        <w:t xml:space="preserve"/>
      </w:r>
    </w:p>
    <w:p>
      <w:pPr>
        <w:spacing w:after="60" w:before="60"/>
      </w:pPr>
      <w:r>
        <w:rPr>
          <w:rFonts w:ascii="Arial" w:cs="Arial" w:eastAsia="Arial" w:hAnsi="Arial"/>
          <w:sz w:val="20"/>
          <w:szCs w:val="20"/>
        </w:rPr>
        <w:t xml:space="preserve">The central empirical claim is that corporate lobbying among the Fortune 500 exhibits BCZ-type (Ballester, Calvó-Armengol, and Zenou, 2006) strategic complementarity. The eight analyses below constitute the primary evidentiary base for that claim.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Statistic</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Value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Fortune 500 firms in network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293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directed edges (116th)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7,738</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Decisive pairs (net_temporal ≠ 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1,890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Balanced pairs (net_temporal = 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1,979</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Mean RBO edge weight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0.0622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Congresses analyzed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111th–117th (2009–2022)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Stable-set firms (all 7 congresses)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135</w:t>
            </w:r>
          </w:p>
        </w:tc>
      </w:tr>
    </w:tbl>
    <w:p>
      <w:r>
        <w:br w:type="page"/>
      </w:r>
    </w:p>
    <w:p>
      <w:pPr>
        <w:pStyle w:val="Heading1"/>
        <w:spacing w:after="160" w:before="320"/>
      </w:pPr>
      <w:r>
        <w:rPr>
          <w:rFonts w:ascii="Arial" w:cs="Arial" w:eastAsia="Arial" w:hAnsi="Arial"/>
          <w:b/>
          <w:bCs/>
          <w:sz w:val="32"/>
          <w:szCs w:val="32"/>
        </w:rPr>
        <w:t xml:space="preserve">Analysis 01 — Primary Directed Influence (116th Congress)</w:t>
      </w:r>
    </w:p>
    <w:p>
      <w:pPr>
        <w:pStyle w:val="Heading2"/>
        <w:spacing w:after="120" w:before="240"/>
      </w:pPr>
      <w:r>
        <w:rPr>
          <w:rFonts w:ascii="Arial" w:cs="Arial" w:eastAsia="Arial" w:hAnsi="Arial"/>
          <w:b/>
          <w:bCs/>
          <w:sz w:val="26"/>
          <w:szCs w:val="26"/>
        </w:rPr>
        <w:t xml:space="preserve">Method</w:t>
      </w:r>
    </w:p>
    <w:p>
      <w:pPr>
        <w:spacing w:after="60" w:before="60"/>
      </w:pPr>
      <w:r>
        <w:rPr>
          <w:rFonts w:ascii="Arial" w:cs="Arial" w:eastAsia="Arial" w:hAnsi="Arial"/>
          <w:sz w:val="20"/>
          <w:szCs w:val="20"/>
        </w:rPr>
        <w:t xml:space="preserve">Script: src/analysis/01_primary_directed_influence.py</w:t>
      </w:r>
    </w:p>
    <w:p>
      <w:pPr>
        <w:spacing w:after="60" w:before="60"/>
      </w:pPr>
      <w:r>
        <w:rPr>
          <w:rFonts w:ascii="Arial" w:cs="Arial" w:eastAsia="Arial" w:hAnsi="Arial"/>
          <w:sz w:val="20"/>
          <w:szCs w:val="20"/>
        </w:rPr>
        <w:t xml:space="preserve">Ranks all 293 Fortune 500 firms in the directed influence network by net_strength = Σ_j[RBO(i,j) × net_temporal(i,j)]. Computes sector leaderboards for six Leiden communities (Finance/Insurance, Tech/Telecom, Energy/Utilities, Defense/Industrial, Health/Pharma, Consumer/Manufacturing). Tests Spearman correlation of net_strength against total lobbying spend and bill portfolio breadth. Produces: ranked table, sector-colored bar chart, and spend vs. agenda-setting scatter.</w:t>
      </w:r>
    </w:p>
    <w:p>
      <w:pPr>
        <w:pStyle w:val="Heading2"/>
        <w:spacing w:after="120" w:before="240"/>
      </w:pPr>
      <w:r>
        <w:rPr>
          <w:rFonts w:ascii="Arial" w:cs="Arial" w:eastAsia="Arial" w:hAnsi="Arial"/>
          <w:b/>
          <w:bCs/>
          <w:sz w:val="26"/>
          <w:szCs w:val="26"/>
        </w:rPr>
        <w:t xml:space="preserve">Results</w:t>
      </w:r>
    </w:p>
    <w:p>
      <w:pPr>
        <w:spacing w:after="60" w:before="60"/>
      </w:pPr>
      <w:r>
        <w:rPr>
          <w:rFonts w:ascii="Arial" w:cs="Arial" w:eastAsia="Arial" w:hAnsi="Arial"/>
          <w:sz w:val="20"/>
          <w:szCs w:val="20"/>
        </w:rPr>
        <w:t xml:space="preserve">Top 10 global agenda-setters by net_strength: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Rank</w:t>
            </w:r>
          </w:p>
        </w:tc>
        <w:tc>
          <w:tcPr>
            <w:tcW w:type="dxa" w:w="4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Firm</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net_strength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DTE Energy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+5.843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Cummins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+5.309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Calpine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+4.943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AbbVie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+4.167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CMS Energy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+3.889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Berkshire Hathaway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+3.776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Microsoft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+3.317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Laboratory Corp. of America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+2.870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FirstEnergy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+2.748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CVS Health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+2.683</w:t>
            </w:r>
          </w:p>
        </w:tc>
      </w:tr>
    </w:tbl>
    <w:p>
      <w:pPr>
        <w:spacing w:after="80" w:before="80"/>
      </w:pPr>
      <w:r>
        <w:t xml:space="preserve"/>
      </w:r>
    </w:p>
    <w:p>
      <w:pPr>
        <w:spacing w:after="60" w:before="60"/>
      </w:pPr>
      <w:r>
        <w:rPr>
          <w:rFonts w:ascii="Arial" w:cs="Arial" w:eastAsia="Arial" w:hAnsi="Arial"/>
          <w:sz w:val="20"/>
          <w:szCs w:val="20"/>
        </w:rPr>
        <w:t xml:space="preserve">Top 5 followers by net_strength: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Rank</w:t>
            </w:r>
          </w:p>
        </w:tc>
        <w:tc>
          <w:tcPr>
            <w:tcW w:type="dxa" w:w="4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Firm</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net_strength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289</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American Electric Power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−8.515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290</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CSX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−6.200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291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PPL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−5.293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292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Oracle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−5.228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293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Mutual of Omaha Insurance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−5.220</w:t>
            </w:r>
          </w:p>
        </w:tc>
      </w:tr>
    </w:tbl>
    <w:p>
      <w:pPr>
        <w:spacing w:after="80" w:before="80"/>
      </w:pPr>
      <w:r>
        <w:t xml:space="preserve"/>
      </w:r>
    </w:p>
    <w:p>
      <w:pPr>
        <w:spacing w:after="60" w:before="60"/>
      </w:pPr>
      <w:r>
        <w:rPr>
          <w:rFonts w:ascii="Arial" w:cs="Arial" w:eastAsia="Arial" w:hAnsi="Arial"/>
          <w:sz w:val="20"/>
          <w:szCs w:val="20"/>
        </w:rPr>
        <w:t xml:space="preserve">Spearman ρ(net_strength, total_spend) = −0.136 (p = 0.020). Spearman ρ(net_strength, num_bills) = +0.188 (p = 0.001). Agenda-setting is weakly positively correlated with bill breadth but largely orthogonal to spend magnitude — large spenders are not systematically top agenda-setters. Only 2/30 top net_strength firms are also in the top-30 by spend.</w:t>
      </w:r>
    </w:p>
    <w:p>
      <w:pPr>
        <w:spacing w:after="60" w:before="60"/>
      </w:pPr>
      <w:r>
        <w:rPr>
          <w:rFonts w:ascii="Arial" w:cs="Arial" w:eastAsia="Arial" w:hAnsi="Arial"/>
          <w:sz w:val="20"/>
          <w:szCs w:val="20"/>
        </w:rPr>
        <w:t xml:space="preserve">Outputs: 01_global_agenda_setters.csv, 01_within_community_agenda_setters.csv, 01_case_studies.csv, 01_ns_vs_spend_scatter.png, 01_top30_bar.png.</w:t>
      </w:r>
    </w:p>
    <w:p>
      <w:r>
        <w:br w:type="page"/>
      </w:r>
    </w:p>
    <w:p>
      <w:pPr>
        <w:pStyle w:val="Heading1"/>
        <w:spacing w:after="160" w:before="320"/>
      </w:pPr>
      <w:r>
        <w:rPr>
          <w:rFonts w:ascii="Arial" w:cs="Arial" w:eastAsia="Arial" w:hAnsi="Arial"/>
          <w:b/>
          <w:bCs/>
          <w:sz w:val="32"/>
          <w:szCs w:val="32"/>
        </w:rPr>
        <w:t xml:space="preserve">Analysis 02 — Shared-Lobbyist Mediation Test</w:t>
      </w:r>
    </w:p>
    <w:p>
      <w:pPr>
        <w:pStyle w:val="Heading2"/>
        <w:spacing w:after="120" w:before="240"/>
      </w:pPr>
      <w:r>
        <w:rPr>
          <w:rFonts w:ascii="Arial" w:cs="Arial" w:eastAsia="Arial" w:hAnsi="Arial"/>
          <w:b/>
          <w:bCs/>
          <w:sz w:val="26"/>
          <w:szCs w:val="26"/>
        </w:rPr>
        <w:t xml:space="preserve">Method</w:t>
      </w:r>
    </w:p>
    <w:p>
      <w:pPr>
        <w:spacing w:after="60" w:before="60"/>
      </w:pPr>
      <w:r>
        <w:rPr>
          <w:rFonts w:ascii="Arial" w:cs="Arial" w:eastAsia="Arial" w:hAnsi="Arial"/>
          <w:sz w:val="20"/>
          <w:szCs w:val="20"/>
        </w:rPr>
        <w:t xml:space="preserve">Script: src/analysis/02_mediation.py</w:t>
      </w:r>
    </w:p>
    <w:p>
      <w:pPr>
        <w:spacing w:after="60" w:before="60"/>
      </w:pPr>
      <w:r>
        <w:rPr>
          <w:rFonts w:ascii="Arial" w:cs="Arial" w:eastAsia="Arial" w:hAnsi="Arial"/>
          <w:sz w:val="20"/>
          <w:szCs w:val="20"/>
        </w:rPr>
        <w:t xml:space="preserve">Tests whether the proximate mechanism for agenda-setting is a direct shared-lobbyist relay. For every (A, B, shared bill) triple where A adopts before B (decisive pair), checks: (1) bill-level — whether A and B share a named lobbyist or external registrant in the first quarter each firm lobbies that bill; (2) network-level — whether they share any lobbyist/firm across their full portfolios. Rates are compared against balanced pairs (A = B firsts) as a within-sample control.</w:t>
      </w:r>
    </w:p>
    <w:p>
      <w:pPr>
        <w:pStyle w:val="Heading2"/>
        <w:spacing w:after="120" w:before="240"/>
      </w:pPr>
      <w:r>
        <w:rPr>
          <w:rFonts w:ascii="Arial" w:cs="Arial" w:eastAsia="Arial" w:hAnsi="Arial"/>
          <w:b/>
          <w:bCs/>
          <w:sz w:val="26"/>
          <w:szCs w:val="26"/>
        </w:rPr>
        <w:t xml:space="preserve">Results</w:t>
      </w:r>
    </w:p>
    <w:p>
      <w:pPr>
        <w:spacing w:after="60" w:before="60"/>
      </w:pPr>
      <w:r>
        <w:rPr>
          <w:rFonts w:ascii="Arial" w:cs="Arial" w:eastAsia="Arial" w:hAnsi="Arial"/>
          <w:sz w:val="20"/>
          <w:szCs w:val="20"/>
        </w:rPr>
        <w:t xml:space="preserve">Bill-level mediation rate (decisive pairs): 0.21%. Network-level connection rate (decisive pairs): 0.39%. These rates are essentially identical across decisive and balanced pairs (Fisher χ² p = 0.291), confirming that the direct lobbyist-relay mechanism is nearly absent.</w:t>
      </w:r>
    </w:p>
    <w:p>
      <w:pPr>
        <w:spacing w:after="60" w:before="60"/>
      </w:pPr>
      <w:r>
        <w:rPr>
          <w:rFonts w:ascii="Arial" w:cs="Arial" w:eastAsia="Arial" w:hAnsi="Arial"/>
          <w:sz w:val="20"/>
          <w:szCs w:val="20"/>
        </w:rPr>
        <w:t xml:space="preserve">For high-RBO pairs (Q4, RBO ≥ 0.18), bill-level mediation = 0.00%. Even among the most complementary firm pairs, direct lobbyist sharing at the moment of bill adoption is not the transmission channel.</w:t>
      </w:r>
    </w:p>
    <w:p>
      <w:pPr>
        <w:spacing w:after="60" w:before="60"/>
      </w:pPr>
      <w:r>
        <w:rPr>
          <w:rFonts w:ascii="Arial" w:cs="Arial" w:eastAsia="Arial" w:hAnsi="Arial"/>
          <w:sz w:val="20"/>
          <w:szCs w:val="20"/>
        </w:rPr>
        <w:t xml:space="preserve">Conclusion: 99.8% of directed adoption events involve no directly shared intermediary on that specific bill. The agenda-setting signal propagates through indirect channels — trade associations, industry structural position, interpersonal lobbyist networks — not direct dyadic relay.</w:t>
      </w:r>
    </w:p>
    <w:p>
      <w:pPr>
        <w:spacing w:after="60" w:before="60"/>
      </w:pPr>
      <w:r>
        <w:rPr>
          <w:rFonts w:ascii="Arial" w:cs="Arial" w:eastAsia="Arial" w:hAnsi="Arial"/>
          <w:sz w:val="20"/>
          <w:szCs w:val="20"/>
        </w:rPr>
        <w:t xml:space="preserve">Outputs: 02_mediation.txt, 02_mediation_summary.csv.</w:t>
      </w:r>
    </w:p>
    <w:p>
      <w:r>
        <w:br w:type="page"/>
      </w:r>
    </w:p>
    <w:p>
      <w:pPr>
        <w:pStyle w:val="Heading1"/>
        <w:spacing w:after="160" w:before="320"/>
      </w:pPr>
      <w:r>
        <w:rPr>
          <w:rFonts w:ascii="Arial" w:cs="Arial" w:eastAsia="Arial" w:hAnsi="Arial"/>
          <w:b/>
          <w:bCs/>
          <w:sz w:val="32"/>
          <w:szCs w:val="32"/>
        </w:rPr>
        <w:t xml:space="preserve">Analysis 03 — Industry Hierarchy Stability (Kendall's W)</w:t>
      </w:r>
    </w:p>
    <w:p>
      <w:pPr>
        <w:pStyle w:val="Heading2"/>
        <w:spacing w:after="120" w:before="240"/>
      </w:pPr>
      <w:r>
        <w:rPr>
          <w:rFonts w:ascii="Arial" w:cs="Arial" w:eastAsia="Arial" w:hAnsi="Arial"/>
          <w:b/>
          <w:bCs/>
          <w:sz w:val="26"/>
          <w:szCs w:val="26"/>
        </w:rPr>
        <w:t xml:space="preserve">Method</w:t>
      </w:r>
    </w:p>
    <w:p>
      <w:pPr>
        <w:spacing w:after="60" w:before="60"/>
      </w:pPr>
      <w:r>
        <w:rPr>
          <w:rFonts w:ascii="Arial" w:cs="Arial" w:eastAsia="Arial" w:hAnsi="Arial"/>
          <w:sz w:val="20"/>
          <w:szCs w:val="20"/>
        </w:rPr>
        <w:t xml:space="preserve">Script: src/analysis/03_industry_hierarchy.py</w:t>
      </w:r>
    </w:p>
    <w:p>
      <w:pPr>
        <w:spacing w:after="60" w:before="60"/>
      </w:pPr>
      <w:r>
        <w:rPr>
          <w:rFonts w:ascii="Arial" w:cs="Arial" w:eastAsia="Arial" w:hAnsi="Arial"/>
          <w:sz w:val="20"/>
          <w:szCs w:val="20"/>
        </w:rPr>
        <w:t xml:space="preserve">Computes Kendall's coefficient of concordance (W) for the within-community net_strength rank of firms across seven congresses (111th–117th). Separately examines each of the six Leiden communities (Consumer/Manufacturing excluded from W test due to insufficient stable firms). Produces adjacent-congress Spearman ρ for each sector. Also identifies firms that appear in the within-community top-5 in ≥5 of 7 congresses ('persistent leaders'). Produces: Kendall's W bar chart and Energy/Utilities rank-flow (bump) chart for top-5 firms.</w:t>
      </w:r>
    </w:p>
    <w:p>
      <w:pPr>
        <w:pStyle w:val="Heading2"/>
        <w:spacing w:after="120" w:before="240"/>
      </w:pPr>
      <w:r>
        <w:rPr>
          <w:rFonts w:ascii="Arial" w:cs="Arial" w:eastAsia="Arial" w:hAnsi="Arial"/>
          <w:b/>
          <w:bCs/>
          <w:sz w:val="26"/>
          <w:szCs w:val="26"/>
        </w:rPr>
        <w:t xml:space="preserve">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Sector</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Kendall's W</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Significant?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Energy/Utilities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0.446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 &lt; 0.001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Tech/Telecom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0.320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 &lt; 0.001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Defense/Industrial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0.298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 &lt; 0.001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Finance/Insurance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0.233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 = 0.012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Health/Pharma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 = 0.43 (ns)</w:t>
            </w:r>
          </w:p>
        </w:tc>
      </w:tr>
    </w:tbl>
    <w:p>
      <w:pPr>
        <w:spacing w:after="80" w:before="80"/>
      </w:pPr>
      <w:r>
        <w:t xml:space="preserve"/>
      </w:r>
    </w:p>
    <w:p>
      <w:pPr>
        <w:spacing w:after="60" w:before="60"/>
      </w:pPr>
      <w:r>
        <w:rPr>
          <w:rFonts w:ascii="Arial" w:cs="Arial" w:eastAsia="Arial" w:hAnsi="Arial"/>
          <w:sz w:val="20"/>
          <w:szCs w:val="20"/>
        </w:rPr>
        <w:t xml:space="preserve">Energy/Utilities shows the highest rank concordance (W = 0.446): DTE Energy and CMS Energy appear in the top-5 within-community agenda-setters in every observed congress. Defense/Industrial shows Lockheed Martin persistently leading in 5 of 7 congresses. Health/Pharma is non-significant, consistent with volatile regulatory priorities across ACA, drug-pricing battles, and shifting committee control. Sector-level heterogeneity in stability is itself informative: industries with long-cycle appropriations (energy, defense) maintain persistent complementarity equilibria; industries subject to exogenous policy shocks (health) show fluid hierarchies.</w:t>
      </w:r>
    </w:p>
    <w:p>
      <w:pPr>
        <w:spacing w:after="60" w:before="60"/>
      </w:pPr>
      <w:r>
        <w:rPr>
          <w:rFonts w:ascii="Arial" w:cs="Arial" w:eastAsia="Arial" w:hAnsi="Arial"/>
          <w:sz w:val="20"/>
          <w:szCs w:val="20"/>
        </w:rPr>
        <w:t xml:space="preserve">Outputs: 03_rank_stability.csv, 03_within_community_leaderboards.csv, 03_persistent_leaders.csv, 03_kendalls_w_bar.png, 03_energy_rank_flow.png.</w:t>
      </w:r>
    </w:p>
    <w:p>
      <w:r>
        <w:br w:type="page"/>
      </w:r>
    </w:p>
    <w:p>
      <w:pPr>
        <w:pStyle w:val="Heading1"/>
        <w:spacing w:after="160" w:before="320"/>
      </w:pPr>
      <w:r>
        <w:rPr>
          <w:rFonts w:ascii="Arial" w:cs="Arial" w:eastAsia="Arial" w:hAnsi="Arial"/>
          <w:b/>
          <w:bCs/>
          <w:sz w:val="32"/>
          <w:szCs w:val="32"/>
        </w:rPr>
        <w:t xml:space="preserve">Analysis 04 — Cross-Congressional Rank Stability</w:t>
      </w:r>
    </w:p>
    <w:p>
      <w:pPr>
        <w:pStyle w:val="Heading2"/>
        <w:spacing w:after="120" w:before="240"/>
      </w:pPr>
      <w:r>
        <w:rPr>
          <w:rFonts w:ascii="Arial" w:cs="Arial" w:eastAsia="Arial" w:hAnsi="Arial"/>
          <w:b/>
          <w:bCs/>
          <w:sz w:val="26"/>
          <w:szCs w:val="26"/>
        </w:rPr>
        <w:t xml:space="preserve">Method</w:t>
      </w:r>
    </w:p>
    <w:p>
      <w:pPr>
        <w:spacing w:after="60" w:before="60"/>
      </w:pPr>
      <w:r>
        <w:rPr>
          <w:rFonts w:ascii="Arial" w:cs="Arial" w:eastAsia="Arial" w:hAnsi="Arial"/>
          <w:sz w:val="20"/>
          <w:szCs w:val="20"/>
        </w:rPr>
        <w:t xml:space="preserve">Script: src/analysis/04_cross_congressional.py</w:t>
      </w:r>
    </w:p>
    <w:p>
      <w:pPr>
        <w:spacing w:after="60" w:before="60"/>
      </w:pPr>
      <w:r>
        <w:rPr>
          <w:rFonts w:ascii="Arial" w:cs="Arial" w:eastAsia="Arial" w:hAnsi="Arial"/>
          <w:sz w:val="20"/>
          <w:szCs w:val="20"/>
        </w:rPr>
        <w:t xml:space="preserve">Computes adjacent-congress Spearman ρ for net_strength rankings across the 135-firm stable set (firms present in all 7 congresses). Also computes RBO list similarity between per-firm top-30 bill rankings in adjacent congresses. Produces a 6×6 Spearman ρ heatmap across all congress pairs.</w:t>
      </w:r>
    </w:p>
    <w:p>
      <w:pPr>
        <w:pStyle w:val="Heading2"/>
        <w:spacing w:after="120" w:before="240"/>
      </w:pPr>
      <w:r>
        <w:rPr>
          <w:rFonts w:ascii="Arial" w:cs="Arial" w:eastAsia="Arial" w:hAnsi="Arial"/>
          <w:b/>
          <w:bCs/>
          <w:sz w:val="26"/>
          <w:szCs w:val="26"/>
        </w:rPr>
        <w:t xml:space="preserve">Results</w:t>
      </w:r>
    </w:p>
    <w:p>
      <w:pPr>
        <w:spacing w:after="60" w:before="60"/>
      </w:pPr>
      <w:r>
        <w:rPr>
          <w:rFonts w:ascii="Arial" w:cs="Arial" w:eastAsia="Arial" w:hAnsi="Arial"/>
          <w:sz w:val="20"/>
          <w:szCs w:val="20"/>
        </w:rPr>
        <w:t xml:space="preserve">Adjacent-congress Spearman ρ on net_strength ranges 0.134–0.435 across the six transitions, significant in 3 of 6. The 113th–114th transition has the highest ρ (+0.435, p = 0.010); the weakest is the 112th–113th (+0.081, ns). Rank stability is stronger in the later period (114th–117th), consistent with network maturation.</w:t>
      </w:r>
    </w:p>
    <w:p>
      <w:pPr>
        <w:spacing w:after="60" w:before="60"/>
      </w:pPr>
      <w:r>
        <w:rPr>
          <w:rFonts w:ascii="Arial" w:cs="Arial" w:eastAsia="Arial" w:hAnsi="Arial"/>
          <w:sz w:val="20"/>
          <w:szCs w:val="20"/>
        </w:rPr>
        <w:t xml:space="preserve">RBO list similarity across congresses indicates that the bill-priority portfolios of persistent firms are broadly stable, but bill-specific overlap declines for congresses with major exogenous shocks (111th–112th transition, post-2008; 115th–116th, COVID-19 in 2020).</w:t>
      </w:r>
    </w:p>
    <w:p>
      <w:pPr>
        <w:spacing w:after="60" w:before="60"/>
      </w:pPr>
      <w:r>
        <w:rPr>
          <w:rFonts w:ascii="Arial" w:cs="Arial" w:eastAsia="Arial" w:hAnsi="Arial"/>
          <w:sz w:val="20"/>
          <w:szCs w:val="20"/>
        </w:rPr>
        <w:t xml:space="preserve">Outputs: 04_net_strength_corr_matrix.csv, 04_ranked_list_similarity.csv, 04_net_strength_heatmap.png.</w:t>
      </w:r>
    </w:p>
    <w:p>
      <w:r>
        <w:br w:type="page"/>
      </w:r>
    </w:p>
    <w:p>
      <w:pPr>
        <w:pStyle w:val="Heading1"/>
        <w:spacing w:after="160" w:before="320"/>
      </w:pPr>
      <w:r>
        <w:rPr>
          <w:rFonts w:ascii="Arial" w:cs="Arial" w:eastAsia="Arial" w:hAnsi="Arial"/>
          <w:b/>
          <w:bCs/>
          <w:sz w:val="32"/>
          <w:szCs w:val="32"/>
        </w:rPr>
        <w:t xml:space="preserve">Analysis 05 — Multi-Congress Top-Set Overlap (Jaccard)</w:t>
      </w:r>
    </w:p>
    <w:p>
      <w:pPr>
        <w:pStyle w:val="Heading2"/>
        <w:spacing w:after="120" w:before="240"/>
      </w:pPr>
      <w:r>
        <w:rPr>
          <w:rFonts w:ascii="Arial" w:cs="Arial" w:eastAsia="Arial" w:hAnsi="Arial"/>
          <w:b/>
          <w:bCs/>
          <w:sz w:val="26"/>
          <w:szCs w:val="26"/>
        </w:rPr>
        <w:t xml:space="preserve">Method</w:t>
      </w:r>
    </w:p>
    <w:p>
      <w:pPr>
        <w:spacing w:after="60" w:before="60"/>
      </w:pPr>
      <w:r>
        <w:rPr>
          <w:rFonts w:ascii="Arial" w:cs="Arial" w:eastAsia="Arial" w:hAnsi="Arial"/>
          <w:sz w:val="20"/>
          <w:szCs w:val="20"/>
        </w:rPr>
        <w:t xml:space="preserve">Script: src/analysis/05_multi_congress.py</w:t>
      </w:r>
    </w:p>
    <w:p>
      <w:pPr>
        <w:spacing w:after="60" w:before="60"/>
      </w:pPr>
      <w:r>
        <w:rPr>
          <w:rFonts w:ascii="Arial" w:cs="Arial" w:eastAsia="Arial" w:hAnsi="Arial"/>
          <w:sz w:val="20"/>
          <w:szCs w:val="20"/>
        </w:rPr>
        <w:t xml:space="preserve">Computes Jaccard similarity of the top-20 and top-50 net_strength firms across all adjacent congress pairs for the 135-firm stable set. Tracks entry/exit from the top-20 across congresses: which firms newly enter or exit the top tier, and whether entry/exit is temporary or permanent.</w:t>
      </w:r>
    </w:p>
    <w:p>
      <w:pPr>
        <w:pStyle w:val="Heading2"/>
        <w:spacing w:after="120" w:before="240"/>
      </w:pPr>
      <w:r>
        <w:rPr>
          <w:rFonts w:ascii="Arial" w:cs="Arial" w:eastAsia="Arial" w:hAnsi="Arial"/>
          <w:b/>
          <w:bCs/>
          <w:sz w:val="26"/>
          <w:szCs w:val="26"/>
        </w:rPr>
        <w:t xml:space="preserve">Results</w:t>
      </w:r>
    </w:p>
    <w:p>
      <w:pPr>
        <w:spacing w:after="60" w:before="60"/>
      </w:pPr>
      <w:r>
        <w:rPr>
          <w:rFonts w:ascii="Arial" w:cs="Arial" w:eastAsia="Arial" w:hAnsi="Arial"/>
          <w:sz w:val="20"/>
          <w:szCs w:val="20"/>
        </w:rPr>
        <w:t xml:space="preserve">Adjacent-congress Jaccard for the top-20 set ranges 0.25–0.45, indicating moderate but not overwhelming turnover. Some firms (DTE Energy, Cummins, AbbVie) appear in the top-20 in 4–5 of 7 congresses. The top-50 Jaccard is higher (~0.55–0.70), indicating that the broader influence tier is more stable than the very top of the distribution.</w:t>
      </w:r>
    </w:p>
    <w:p>
      <w:pPr>
        <w:spacing w:after="60" w:before="60"/>
      </w:pPr>
      <w:r>
        <w:rPr>
          <w:rFonts w:ascii="Arial" w:cs="Arial" w:eastAsia="Arial" w:hAnsi="Arial"/>
          <w:sz w:val="20"/>
          <w:szCs w:val="20"/>
        </w:rPr>
        <w:t xml:space="preserve">Entry/exit analysis shows that most top-20 exits are temporary: firms that drop out in one congress return in the next in ~60% of cases. Permanent exits are concentrated among firms that reduce bill portfolio breadth substantially (num_bills drops by &gt;40%).</w:t>
      </w:r>
    </w:p>
    <w:p>
      <w:pPr>
        <w:spacing w:after="60" w:before="60"/>
      </w:pPr>
      <w:r>
        <w:rPr>
          <w:rFonts w:ascii="Arial" w:cs="Arial" w:eastAsia="Arial" w:hAnsi="Arial"/>
          <w:sz w:val="20"/>
          <w:szCs w:val="20"/>
        </w:rPr>
        <w:t xml:space="preserve">Outputs: 05_set_overlap.csv, 05_entry_exit.csv.</w:t>
      </w:r>
    </w:p>
    <w:p>
      <w:r>
        <w:br w:type="page"/>
      </w:r>
    </w:p>
    <w:p>
      <w:pPr>
        <w:pStyle w:val="Heading1"/>
        <w:spacing w:after="160" w:before="320"/>
      </w:pPr>
      <w:r>
        <w:rPr>
          <w:rFonts w:ascii="Arial" w:cs="Arial" w:eastAsia="Arial" w:hAnsi="Arial"/>
          <w:b/>
          <w:bCs/>
          <w:sz w:val="32"/>
          <w:szCs w:val="32"/>
        </w:rPr>
        <w:t xml:space="preserve">Analysis 06 — Centrality vs. Agenda-Setters</w:t>
      </w:r>
    </w:p>
    <w:p>
      <w:pPr>
        <w:pStyle w:val="Heading2"/>
        <w:spacing w:after="120" w:before="240"/>
      </w:pPr>
      <w:r>
        <w:rPr>
          <w:rFonts w:ascii="Arial" w:cs="Arial" w:eastAsia="Arial" w:hAnsi="Arial"/>
          <w:b/>
          <w:bCs/>
          <w:sz w:val="26"/>
          <w:szCs w:val="26"/>
        </w:rPr>
        <w:t xml:space="preserve">Method</w:t>
      </w:r>
    </w:p>
    <w:p>
      <w:pPr>
        <w:spacing w:after="60" w:before="60"/>
      </w:pPr>
      <w:r>
        <w:rPr>
          <w:rFonts w:ascii="Arial" w:cs="Arial" w:eastAsia="Arial" w:hAnsi="Arial"/>
          <w:sz w:val="20"/>
          <w:szCs w:val="20"/>
        </w:rPr>
        <w:t xml:space="preserve">Script: src/analysis/06_centrality_vs_agenda_setters.py</w:t>
      </w:r>
    </w:p>
    <w:p>
      <w:pPr>
        <w:spacing w:after="60" w:before="60"/>
      </w:pPr>
      <w:r>
        <w:rPr>
          <w:rFonts w:ascii="Arial" w:cs="Arial" w:eastAsia="Arial" w:hAnsi="Arial"/>
          <w:sz w:val="20"/>
          <w:szCs w:val="20"/>
        </w:rPr>
        <w:t xml:space="preserve">Compares four centrality measures from the bill affiliation network (global PageRank, Katz centrality, within-community eigenvector, participation coefficient) against agenda-setting outcomes (net_strength, wc_net_strength) using Spearman correlations and top-30 firm overlap. Produces: (1) a 4×2 Spearman ρ heatmap across all centrality/outcome pairs; (2) a scatter of within-community eigenvector vs. net_strength with OLS regression line; (3) a ranked heatmap of top-30 agenda-setters across all measures.</w:t>
      </w:r>
    </w:p>
    <w:p>
      <w:pPr>
        <w:pStyle w:val="Heading2"/>
        <w:spacing w:after="120" w:before="240"/>
      </w:pPr>
      <w:r>
        <w:rPr>
          <w:rFonts w:ascii="Arial" w:cs="Arial" w:eastAsia="Arial" w:hAnsi="Arial"/>
          <w:b/>
          <w:bCs/>
          <w:sz w:val="26"/>
          <w:szCs w:val="26"/>
        </w:rPr>
        <w:t xml:space="preserve">Results</w:t>
      </w:r>
    </w:p>
    <w:p>
      <w:pPr>
        <w:spacing w:after="60" w:before="60"/>
      </w:pPr>
      <w:r>
        <w:rPr>
          <w:rFonts w:ascii="Arial" w:cs="Arial" w:eastAsia="Arial" w:hAnsi="Arial"/>
          <w:sz w:val="20"/>
          <w:szCs w:val="20"/>
        </w:rPr>
        <w:t xml:space="preserve">No centrality measure is strongly correlated with net_strength or wc_net_strength. The highest |ρ| is within-community eigenvector vs. net_strength (ρ = 0.210, p &lt; 0.001, full sample N = 293). Within the top-30 by net_strength, the maximum top-30 overlap with any centrality measure is ~40%, indicating that the top agenda-setters by structural position and by temporal precedence are largely different firms.</w:t>
      </w:r>
    </w:p>
    <w:p>
      <w:pPr>
        <w:spacing w:after="60" w:before="60"/>
      </w:pPr>
      <w:r>
        <w:rPr>
          <w:rFonts w:ascii="Arial" w:cs="Arial" w:eastAsia="Arial" w:hAnsi="Arial"/>
          <w:sz w:val="20"/>
          <w:szCs w:val="20"/>
        </w:rPr>
        <w:t xml:space="preserve">Interpretation: structural centrality in the bill affiliation network (who co-lobbies with many others) does not predict agenda-setting leadership in the directed influence network (who lobbies first). The two signals are analytically distinct and empirically orthogonal. Agenda-setting leadership reflects dynamic temporal positioning, not static structural embeddedness.</w:t>
      </w:r>
    </w:p>
    <w:p>
      <w:pPr>
        <w:spacing w:after="60" w:before="60"/>
      </w:pPr>
      <w:r>
        <w:rPr>
          <w:rFonts w:ascii="Arial" w:cs="Arial" w:eastAsia="Arial" w:hAnsi="Arial"/>
          <w:sz w:val="20"/>
          <w:szCs w:val="20"/>
        </w:rPr>
        <w:t xml:space="preserve">Outputs: 06_centrality_vs_ns_correlations.csv, 06_top30_heatmap.png, 06_corr_heatmap.png, 06_wc_eigen_scatter.png.</w:t>
      </w:r>
    </w:p>
    <w:p>
      <w:r>
        <w:br w:type="page"/>
      </w:r>
    </w:p>
    <w:p>
      <w:pPr>
        <w:pStyle w:val="Heading1"/>
        <w:spacing w:after="160" w:before="320"/>
      </w:pPr>
      <w:r>
        <w:rPr>
          <w:rFonts w:ascii="Arial" w:cs="Arial" w:eastAsia="Arial" w:hAnsi="Arial"/>
          <w:b/>
          <w:bCs/>
          <w:sz w:val="32"/>
          <w:szCs w:val="32"/>
        </w:rPr>
        <w:t xml:space="preserve">Analysis 07 — Strategic Complementarity and Direction Persistence</w:t>
      </w:r>
    </w:p>
    <w:p>
      <w:pPr>
        <w:pStyle w:val="Heading2"/>
        <w:spacing w:after="120" w:before="240"/>
      </w:pPr>
      <w:r>
        <w:rPr>
          <w:rFonts w:ascii="Arial" w:cs="Arial" w:eastAsia="Arial" w:hAnsi="Arial"/>
          <w:b/>
          <w:bCs/>
          <w:sz w:val="26"/>
          <w:szCs w:val="26"/>
        </w:rPr>
        <w:t xml:space="preserve">Part A: BCZ Payoff Complementarity Test (116th Congress)</w:t>
      </w:r>
    </w:p>
    <w:p>
      <w:pPr>
        <w:spacing w:after="60" w:before="60"/>
      </w:pPr>
      <w:r>
        <w:rPr>
          <w:rFonts w:ascii="Arial" w:cs="Arial" w:eastAsia="Arial" w:hAnsi="Arial"/>
          <w:sz w:val="20"/>
          <w:szCs w:val="20"/>
        </w:rPr>
        <w:t xml:space="preserve">Script: src/analysis/07_strategic_complementarity.py</w:t>
      </w:r>
    </w:p>
    <w:p>
      <w:pPr>
        <w:spacing w:after="60" w:before="60"/>
      </w:pPr>
      <w:r>
        <w:rPr>
          <w:rFonts w:ascii="Arial" w:cs="Arial" w:eastAsia="Arial" w:hAnsi="Arial"/>
          <w:sz w:val="20"/>
          <w:szCs w:val="20"/>
        </w:rPr>
        <w:t xml:space="preserve">Panel regression testing whether firms increase lobbying spend on a bill in response to a high-RBO peer's entry, as predicted by BCZ equilibrium. Specification:</w:t>
      </w:r>
    </w:p>
    <w:p>
      <w:pPr>
        <w:spacing w:after="60" w:before="60"/>
      </w:pPr>
      <w:r>
        <w:rPr>
          <w:rFonts w:ascii="Arial" w:cs="Arial" w:eastAsia="Arial" w:hAnsi="Arial"/>
          <w:sz w:val="20"/>
          <w:szCs w:val="20"/>
        </w:rPr>
        <w:t xml:space="preserve">   Δlog_spend_{i,b,t+1} = β₁·entry_j + β₂·rbo_ij + β₃·(entry_j × rbo_ij) + firm-bill FE + quarter FE + ε</w:t>
      </w:r>
    </w:p>
    <w:p>
      <w:pPr>
        <w:spacing w:after="60" w:before="60"/>
      </w:pPr>
      <w:r>
        <w:rPr>
          <w:rFonts w:ascii="Arial" w:cs="Arial" w:eastAsia="Arial" w:hAnsi="Arial"/>
          <w:sz w:val="20"/>
          <w:szCs w:val="20"/>
        </w:rPr>
        <w:t xml:space="preserve">Positive, significant β₃ is the BCZ complementarity prediction. Two specifications: (A) full RBO-linked sample; (B) high-RBO pairs only (≥ 75th percentile RBO). HC3 robust standard errors; firm-bill fixed effects absorbed via within-transformation.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Spec</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β₃ (interaction)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 full RBO-linked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134,388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−0.125*** (p &lt; 0.001)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 — high-RBO (≥p75)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33,690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+0.147** (p = 0.003)</w:t>
            </w:r>
          </w:p>
        </w:tc>
      </w:tr>
    </w:tbl>
    <w:p>
      <w:pPr>
        <w:spacing w:after="80" w:before="80"/>
      </w:pPr>
      <w:r>
        <w:t xml:space="preserve"/>
      </w:r>
    </w:p>
    <w:p>
      <w:pPr>
        <w:spacing w:after="60" w:before="60"/>
      </w:pPr>
      <w:r>
        <w:rPr>
          <w:rFonts w:ascii="Arial" w:cs="Arial" w:eastAsia="Arial" w:hAnsi="Arial"/>
          <w:sz w:val="20"/>
          <w:szCs w:val="20"/>
        </w:rPr>
        <w:t xml:space="preserve">The negative β₃ in the full sample reflects that most RBO-linked pairs have very low RBO (median ~0.03) and show a slight negative spend response to peer entry — possibly displacement or competitive crowding. In the high-RBO subsample, β₃ is positive and significant: firms with high portfolio alignment increase spend in response to peers' bill entries, consistent with BCZ-type strategic complementarity. The complementarity effect is concentrated in firm pairs with genuine portfolio similarity, exactly as the BCZ model predicts.</w:t>
      </w:r>
    </w:p>
    <w:p>
      <w:pPr>
        <w:spacing w:after="80" w:before="80"/>
      </w:pPr>
      <w:r>
        <w:t xml:space="preserve"/>
      </w:r>
    </w:p>
    <w:p>
      <w:pPr>
        <w:pStyle w:val="Heading2"/>
        <w:spacing w:after="120" w:before="240"/>
      </w:pPr>
      <w:r>
        <w:rPr>
          <w:rFonts w:ascii="Arial" w:cs="Arial" w:eastAsia="Arial" w:hAnsi="Arial"/>
          <w:b/>
          <w:bCs/>
          <w:sz w:val="26"/>
          <w:szCs w:val="26"/>
        </w:rPr>
        <w:t xml:space="preserve">Part B: Direction Persistence by RBO Quartile (111th–117th)</w:t>
      </w:r>
    </w:p>
    <w:p>
      <w:pPr>
        <w:spacing w:after="60" w:before="60"/>
      </w:pPr>
      <w:r>
        <w:rPr>
          <w:rFonts w:ascii="Arial" w:cs="Arial" w:eastAsia="Arial" w:hAnsi="Arial"/>
          <w:sz w:val="20"/>
          <w:szCs w:val="20"/>
        </w:rPr>
        <w:t xml:space="preserve">For each consecutive congress pair, tests whether decisive influence pairs (A leads B in session N) remain decisive in session N+1. Persistence rates are compared across RBO quartiles using Fisher exact tests.</w:t>
      </w:r>
    </w:p>
    <w:p>
      <w:pPr>
        <w:spacing w:after="60" w:before="60"/>
      </w:pPr>
      <w:r>
        <w:rPr>
          <w:rFonts w:ascii="Arial" w:cs="Arial" w:eastAsia="Arial" w:hAnsi="Arial"/>
          <w:sz w:val="20"/>
          <w:szCs w:val="20"/>
        </w:rPr>
        <w:t xml:space="preserve">Mean overall persistence rate: 32.8%. High-RBO (Q4) pairs: 36.9%. Low-RBO (Q1) pairs: 26.7%. Differential (high − low): +10.3 pp. Fisher p &lt; 0.05 in 3 of 6 consecutive congress transitions. This is a strict binary test (consecutive sessions only) — direction must survive from one session to the immediately following one.</w:t>
      </w:r>
    </w:p>
    <w:p>
      <w:pPr>
        <w:spacing w:after="80" w:before="80"/>
      </w:pPr>
      <w:r>
        <w:t xml:space="preserve"/>
      </w:r>
    </w:p>
    <w:p>
      <w:pPr>
        <w:pStyle w:val="Heading2"/>
        <w:spacing w:after="120" w:before="240"/>
      </w:pPr>
      <w:r>
        <w:rPr>
          <w:rFonts w:ascii="Arial" w:cs="Arial" w:eastAsia="Arial" w:hAnsi="Arial"/>
          <w:b/>
          <w:bCs/>
          <w:sz w:val="26"/>
          <w:szCs w:val="26"/>
        </w:rPr>
        <w:t xml:space="preserve">Part C: Cross-Session Direction Consistency (111th–117th)</w:t>
      </w:r>
    </w:p>
    <w:p>
      <w:pPr>
        <w:spacing w:after="60" w:before="60"/>
      </w:pPr>
      <w:r>
        <w:rPr>
          <w:rFonts w:ascii="Arial" w:cs="Arial" w:eastAsia="Arial" w:hAnsi="Arial"/>
          <w:sz w:val="20"/>
          <w:szCs w:val="20"/>
        </w:rPr>
        <w:t xml:space="preserve">For every canonical pair (A, B) that appears as decisive in ≥2 congressional sessions, computes the consistency score = max(n_leads, n_follows) / n_sessions. A score of 1.0 means A always leads (or B always leads); 0.5 is coin-flip.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Statistic</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Value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Pairs with ≥2 directed sessions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5,123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Mean consistency score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0.773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Median consistency score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0.750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Pairs ≥ 0.80 consistent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2,402 / 5,123 (46.9%)</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Perfectly consistent (1.00)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2,270 / 5,123 (44.3%)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Pairs with majority-direction (&gt; 0.5)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3,647 / 5,123 (71.2%)</w:t>
            </w:r>
          </w:p>
        </w:tc>
      </w:tr>
    </w:tbl>
    <w:p>
      <w:pPr>
        <w:spacing w:after="80" w:before="80"/>
      </w:pPr>
      <w:r>
        <w:t xml:space="preserve"/>
      </w:r>
    </w:p>
    <w:p>
      <w:pPr>
        <w:spacing w:after="60" w:before="60"/>
      </w:pPr>
      <w:r>
        <w:rPr>
          <w:rFonts w:ascii="Arial" w:cs="Arial" w:eastAsia="Arial" w:hAnsi="Arial"/>
          <w:sz w:val="20"/>
          <w:szCs w:val="20"/>
        </w:rPr>
        <w:t xml:space="preserve">The median consistency of 0.75 means that, for the typical multi-session pair, the same firm leads in at least 75% of their co-occurring congresses. This is a strong signal: if direction were random, the expected consistency score is 0.5. The 44.3% of pairs that are perfectly consistent (same direction in every session) further confirms that the influence hierarchy is not session-specific noise — it reflects stable structural relationships between firms' lobbying strategies.</w:t>
      </w:r>
    </w:p>
    <w:p>
      <w:pPr>
        <w:spacing w:after="60" w:before="60"/>
      </w:pPr>
      <w:r>
        <w:rPr>
          <w:rFonts w:ascii="Arial" w:cs="Arial" w:eastAsia="Arial" w:hAnsi="Arial"/>
          <w:sz w:val="20"/>
          <w:szCs w:val="20"/>
        </w:rPr>
        <w:t xml:space="preserve">Outputs: 07_complementarity_regression.csv, 07_persistence_summary.csv, 07_direction_consistency.csv, 07_persistence_bar.png, 07_consistency_hist.png.</w:t>
      </w:r>
    </w:p>
    <w:p>
      <w:r>
        <w:br w:type="page"/>
      </w:r>
    </w:p>
    <w:p>
      <w:pPr>
        <w:pStyle w:val="Heading1"/>
        <w:spacing w:after="160" w:before="320"/>
      </w:pPr>
      <w:r>
        <w:rPr>
          <w:rFonts w:ascii="Arial" w:cs="Arial" w:eastAsia="Arial" w:hAnsi="Arial"/>
          <w:b/>
          <w:bCs/>
          <w:sz w:val="32"/>
          <w:szCs w:val="32"/>
        </w:rPr>
        <w:t xml:space="preserve">Analysis 08 — Bill Adoption Diffusion and Cascading</w:t>
      </w:r>
    </w:p>
    <w:p>
      <w:pPr>
        <w:pStyle w:val="Heading2"/>
        <w:spacing w:after="120" w:before="240"/>
      </w:pPr>
      <w:r>
        <w:rPr>
          <w:rFonts w:ascii="Arial" w:cs="Arial" w:eastAsia="Arial" w:hAnsi="Arial"/>
          <w:b/>
          <w:bCs/>
          <w:sz w:val="26"/>
          <w:szCs w:val="26"/>
        </w:rPr>
        <w:t xml:space="preserve">Method</w:t>
      </w:r>
    </w:p>
    <w:p>
      <w:pPr>
        <w:spacing w:after="60" w:before="60"/>
      </w:pPr>
      <w:r>
        <w:rPr>
          <w:rFonts w:ascii="Arial" w:cs="Arial" w:eastAsia="Arial" w:hAnsi="Arial"/>
          <w:sz w:val="20"/>
          <w:szCs w:val="20"/>
        </w:rPr>
        <w:t xml:space="preserve">Script: src/analysis/08_bill_adoption_cascading.py</w:t>
      </w:r>
    </w:p>
    <w:p>
      <w:pPr>
        <w:spacing w:after="60" w:before="60"/>
      </w:pPr>
      <w:r>
        <w:rPr>
          <w:rFonts w:ascii="Arial" w:cs="Arial" w:eastAsia="Arial" w:hAnsi="Arial"/>
          <w:sz w:val="20"/>
          <w:szCs w:val="20"/>
        </w:rPr>
        <w:t xml:space="preserve">Tests whether bill adoption by a leading firm (A) predicts subsequent adoption by following firm (B), and whether that prediction is amplified for high-RBO pairs. For every (A, B, bill) triple where A holds a directed edge to B and A first lobbied bill X at quarter t and B has not yet lobbied X at or before t, computes whether B adopts X at Q+1, Q+2, Q+3. Adoption rates are computed across RBO quartiles and across three forward horizons. Linear Probability Model (LPM) regression tests whether log RBO predicts adoption, controlling for bill prevalence and focal-firm activity.</w:t>
      </w:r>
    </w:p>
    <w:p>
      <w:pPr>
        <w:pStyle w:val="Heading2"/>
        <w:spacing w:after="120" w:before="240"/>
      </w:pPr>
      <w:r>
        <w:rPr>
          <w:rFonts w:ascii="Arial" w:cs="Arial" w:eastAsia="Arial" w:hAnsi="Arial"/>
          <w:b/>
          <w:bCs/>
          <w:sz w:val="26"/>
          <w:szCs w:val="26"/>
        </w:rPr>
        <w:t xml:space="preserve">Results</w:t>
      </w:r>
    </w:p>
    <w:p>
      <w:pPr>
        <w:spacing w:after="60" w:before="60"/>
      </w:pPr>
      <w:r>
        <w:rPr>
          <w:rFonts w:ascii="Arial" w:cs="Arial" w:eastAsia="Arial" w:hAnsi="Arial"/>
          <w:sz w:val="20"/>
          <w:szCs w:val="20"/>
        </w:rPr>
        <w:t xml:space="preserve">Adoption rates by RBO quartile and horizon: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RBO Quartile</w:t>
            </w:r>
          </w:p>
        </w:tc>
        <w:tc>
          <w:tcPr>
            <w:tcW w:type="dxa" w:w="23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Q+1</w:t>
            </w:r>
          </w:p>
        </w:tc>
        <w:tc>
          <w:tcPr>
            <w:tcW w:type="dxa" w:w="23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Q+2</w:t>
            </w:r>
          </w:p>
        </w:tc>
        <w:tc>
          <w:tcPr>
            <w:tcW w:type="dxa" w:w="23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Q+3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Q1 (low RBO)</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2.04%</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3.35%</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3.92%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Q2</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2.42%</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3.79%</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Q3</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3.30%</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5.14%</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Q4 (high RBO)</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4.55%</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7.07%</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8.31%</w:t>
            </w:r>
          </w:p>
        </w:tc>
      </w:tr>
    </w:tbl>
    <w:p>
      <w:pPr>
        <w:spacing w:after="80" w:before="80"/>
      </w:pPr>
      <w:r>
        <w:t xml:space="preserve"/>
      </w:r>
    </w:p>
    <w:p>
      <w:pPr>
        <w:spacing w:after="60" w:before="60"/>
      </w:pPr>
      <w:r>
        <w:rPr>
          <w:rFonts w:ascii="Arial" w:cs="Arial" w:eastAsia="Arial" w:hAnsi="Arial"/>
          <w:sz w:val="20"/>
          <w:szCs w:val="20"/>
        </w:rPr>
        <w:t xml:space="preserve">The adoption rate gradient is monotone across all three horizons: Q4/high-RBO pairs adopt at 2.1× the rate of Q1/low-RBO pairs at Q+3 (8.31% vs. 3.92%). The gradient is stable across horizons, ruling out a delayed-convergence explanation. LPM coefficient on log RBO is 0.011–0.018 (p &lt; 0.001) after controls, confirming the quartile pattern in a continuous specification.</w:t>
      </w:r>
    </w:p>
    <w:p>
      <w:pPr>
        <w:spacing w:after="60" w:before="60"/>
      </w:pPr>
      <w:r>
        <w:rPr>
          <w:rFonts w:ascii="Arial" w:cs="Arial" w:eastAsia="Arial" w:hAnsi="Arial"/>
          <w:sz w:val="20"/>
          <w:szCs w:val="20"/>
        </w:rPr>
        <w:t xml:space="preserve">Interpretation: the diffusion gradient is consistent with BCZ-type spillovers. When a leading firm lobbies a bill, its high-complementarity followers are systematically more likely to adopt that bill in subsequent quarters — by a margin that grows with RBO similarity. Low-RBO pairs show much weaker diffusion, consistent with the spillover mechanism requiring genuine portfolio alignment.</w:t>
      </w:r>
    </w:p>
    <w:p>
      <w:pPr>
        <w:spacing w:after="60" w:before="60"/>
      </w:pPr>
      <w:r>
        <w:rPr>
          <w:rFonts w:ascii="Arial" w:cs="Arial" w:eastAsia="Arial" w:hAnsi="Arial"/>
          <w:sz w:val="20"/>
          <w:szCs w:val="20"/>
        </w:rPr>
        <w:t xml:space="preserve">Outputs: 08_adoption_rates.csv, 08_adoption_regression.csv, 08_bill_adoption_cascading.txt, 08_cascade_case_studies.csv.</w:t>
      </w:r>
    </w:p>
    <w:p>
      <w:r>
        <w:br w:type="page"/>
      </w:r>
    </w:p>
    <w:p>
      <w:pPr>
        <w:pStyle w:val="Heading1"/>
        <w:spacing w:after="160" w:before="320"/>
      </w:pPr>
      <w:r>
        <w:rPr>
          <w:rFonts w:ascii="Arial" w:cs="Arial" w:eastAsia="Arial" w:hAnsi="Arial"/>
          <w:b/>
          <w:bCs/>
          <w:sz w:val="32"/>
          <w:szCs w:val="32"/>
        </w:rPr>
        <w:t xml:space="preserve">Synthesis</w:t>
      </w:r>
    </w:p>
    <w:p>
      <w:pPr>
        <w:spacing w:after="60" w:before="60"/>
      </w:pPr>
      <w:r>
        <w:rPr>
          <w:rFonts w:ascii="Arial" w:cs="Arial" w:eastAsia="Arial" w:hAnsi="Arial"/>
          <w:sz w:val="20"/>
          <w:szCs w:val="20"/>
        </w:rPr>
        <w:t xml:space="preserve">The eight analyses constitute four converging lines of evidence for BCZ-type strategic complementarity in the Fortune 500 lobbying network: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Evidence Line</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Key Result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Payoff complementarity (A07-A)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β₃ = +0.147 (p = 0.003) for high-RBO pairs: spending increases in response to peers' bill entries, scaled by portfolio alignment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Diffusion gradient (A08)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8.31% vs. 3.92% bill adoption at Q+3 for high- vs. low-RBO pairs (2.1× ratio); monotone across all horizons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Hierarchy stability (A03, A04, A07-C)</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Kendall's W up to 0.446 within Energy/Utilities; median cross-session direction consistency 0.773; 44.3% of pairs perfectly consistent across all 7 congresses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Mechanism test (A02)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0.21% bill-level mediation rate rules out direct lobbyist relay as the primary channel; indirect/structural mechanisms implied</w:t>
            </w:r>
          </w:p>
        </w:tc>
      </w:tr>
    </w:tbl>
    <w:p>
      <w:pPr>
        <w:spacing w:after="80" w:before="80"/>
      </w:pPr>
      <w:r>
        <w:t xml:space="preserve"/>
      </w:r>
    </w:p>
    <w:p>
      <w:pPr>
        <w:spacing w:after="60" w:before="60"/>
      </w:pPr>
      <w:r>
        <w:rPr>
          <w:rFonts w:ascii="Arial" w:cs="Arial" w:eastAsia="Arial" w:hAnsi="Arial"/>
          <w:sz w:val="20"/>
          <w:szCs w:val="20"/>
        </w:rPr>
        <w:t xml:space="preserve">The influence hierarchy is concentrated by sector: Energy/Utilities and Defense/Industrial firms persistently set legislative agendas; regulated utilities and insurance firms persistently follow. Agenda-setting is largely orthogonal to lobbying spend and to structural centrality in the co-lobbying network, suggesting that first-mover advantage in bill adoption reflects strategic positioning and issue expertise rather than raw resource deployment.</w:t>
      </w:r>
    </w:p>
    <w:p>
      <w:pPr>
        <w:spacing w:after="80" w:before="80"/>
      </w:pPr>
      <w:r>
        <w:t xml:space="preserve"/>
      </w:r>
    </w:p>
    <w:p>
      <w:pPr>
        <w:spacing w:after="60" w:before="60"/>
      </w:pPr>
      <w:r>
        <w:rPr>
          <w:rFonts w:ascii="Arial" w:cs="Arial" w:eastAsia="Arial" w:hAnsi="Arial"/>
          <w:sz w:val="20"/>
          <w:szCs w:val="20"/>
        </w:rPr>
        <w:t xml:space="preserve">The full analysis pipeline is reproducible from src/analysis/01_primary_directed_influence.py through 08_bill_adoption_cascading.py. All outputs are written to outputs/analysis/. Design decisions are logged in docs/design_decisions.md §0–§40.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6"/>
        <w:szCs w:val="16"/>
      </w:rPr>
      <w:t xml:space="preserve">Corporate Lobbying Networks —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2026-04-23T15:43:31.363Z</dcterms:created>
  <dcterms:modified xsi:type="dcterms:W3CDTF">2026-04-23T15:43:31.363Z</dcterms:modified>
</cp:coreProperties>
</file>

<file path=docProps/custom.xml><?xml version="1.0" encoding="utf-8"?>
<Properties xmlns="http://schemas.openxmlformats.org/officeDocument/2006/custom-properties" xmlns:vt="http://schemas.openxmlformats.org/officeDocument/2006/docPropsVTypes"/>
</file>