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T30. Final Conclusion Matrix</w:t>
      </w:r>
    </w:p>
    <w:p>
      <w:r>
        <w:rPr>
          <w:sz w:val="18"/>
        </w:rPr>
        <w:t>What the evidence shows for each locked objective of PV-MEPCG / PulseVision: the measured finding, the verdict, the explicit rule that produced the verdict, and the limitation that bounds it. Every number is read from the tables and run outputs named in its row when the table is built.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Objective</w:t>
            </w:r>
          </w:p>
        </w:tc>
        <w:tc>
          <w:tcPr>
            <w:tcW w:type="dxa" w:w="1080"/>
          </w:tcPr>
          <w:p>
            <w:r>
              <w:rPr>
                <w:b/>
                <w:sz w:val="18"/>
              </w:rPr>
              <w:t>Handle</w:t>
            </w:r>
          </w:p>
        </w:tc>
        <w:tc>
          <w:tcPr>
            <w:tcW w:type="dxa" w:w="1080"/>
          </w:tcPr>
          <w:p>
            <w:r>
              <w:rPr>
                <w:b/>
                <w:sz w:val="18"/>
              </w:rPr>
              <w:t>Finding</w:t>
            </w:r>
          </w:p>
        </w:tc>
        <w:tc>
          <w:tcPr>
            <w:tcW w:type="dxa" w:w="1080"/>
          </w:tcPr>
          <w:p>
            <w:r>
              <w:rPr>
                <w:b/>
                <w:sz w:val="18"/>
              </w:rPr>
              <w:t>Verdict</w:t>
            </w:r>
          </w:p>
        </w:tc>
        <w:tc>
          <w:tcPr>
            <w:tcW w:type="dxa" w:w="1080"/>
          </w:tcPr>
          <w:p>
            <w:r>
              <w:rPr>
                <w:b/>
                <w:sz w:val="18"/>
              </w:rPr>
              <w:t>Rule applied</w:t>
            </w:r>
          </w:p>
        </w:tc>
        <w:tc>
          <w:tcPr>
            <w:tcW w:type="dxa" w:w="1080"/>
          </w:tcPr>
          <w:p>
            <w:r>
              <w:rPr>
                <w:b/>
                <w:sz w:val="18"/>
              </w:rPr>
              <w:t>Limitation</w:t>
            </w:r>
          </w:p>
        </w:tc>
        <w:tc>
          <w:tcPr>
            <w:tcW w:type="dxa" w:w="1080"/>
          </w:tcPr>
          <w:p>
            <w:r>
              <w:rPr>
                <w:b/>
                <w:sz w:val="18"/>
              </w:rPr>
              <w:t>Evidence tables</w:t>
            </w:r>
          </w:p>
        </w:tc>
        <w:tc>
          <w:tcPr>
            <w:tcW w:type="dxa" w:w="1080"/>
          </w:tcPr>
          <w:p>
            <w:r>
              <w:rPr>
                <w:b/>
                <w:sz w:val="18"/>
              </w:rPr>
              <w:t>Source files</w:t>
            </w:r>
          </w:p>
        </w:tc>
      </w:tr>
      <w:tr>
        <w:tc>
          <w:tcPr>
            <w:tcW w:type="dxa" w:w="1080"/>
          </w:tcPr>
          <w:p>
            <w:r>
              <w:rPr>
                <w:sz w:val="18"/>
              </w:rPr>
              <w:t>1</w:t>
            </w:r>
          </w:p>
        </w:tc>
        <w:tc>
          <w:tcPr>
            <w:tcW w:type="dxa" w:w="1080"/>
          </w:tcPr>
          <w:p>
            <w:r>
              <w:rPr>
                <w:sz w:val="18"/>
              </w:rPr>
              <w:t>Normal versus abnormal classification</w:t>
            </w:r>
          </w:p>
        </w:tc>
        <w:tc>
          <w:tcPr>
            <w:tcW w:type="dxa" w:w="1080"/>
          </w:tcPr>
          <w:p>
            <w:r>
              <w:rPr>
                <w:sz w:val="18"/>
              </w:rPr>
              <w:t>Final model M1 (EXP-A2, 25 subject-grouped folds within PhysioNet 2016): sensitivity 0.865 (SD 0.045), specificity 0.829, balanced accuracy 0.847, ROC-AUC 0.921.</w:t>
            </w:r>
          </w:p>
        </w:tc>
        <w:tc>
          <w:tcPr>
            <w:tcW w:type="dxa" w:w="1080"/>
          </w:tcPr>
          <w:p>
            <w:r>
              <w:rPr>
                <w:sz w:val="18"/>
              </w:rPr>
              <w:t>Achieved as within-corpus screening performance; the result does not transfer to an unseen recording setup</w:t>
            </w:r>
          </w:p>
        </w:tc>
        <w:tc>
          <w:tcPr>
            <w:tcW w:type="dxa" w:w="1080"/>
          </w:tcPr>
          <w:p>
            <w:r>
              <w:rPr>
                <w:sz w:val="18"/>
              </w:rPr>
              <w:t>The within-corpus result is stated as measured. Transfer is claimed only if some model's held-out-source ROC-AUC exceeds 0.5 by more than one SD.</w:t>
            </w:r>
          </w:p>
        </w:tc>
        <w:tc>
          <w:tcPr>
            <w:tcW w:type="dxa" w:w="1080"/>
          </w:tcPr>
          <w:p>
            <w:r>
              <w:rPr>
                <w:sz w:val="18"/>
              </w:rPr>
              <w:t>Held out one PhysioNet sub-collection at a time, M1's ROC-AUC falls from 0.922 to 0.533 (SD 0.080, EXP-F3); across the 6 models it is 0.426-0.533. Transferred to CirCor (EXP-D1) its recording-level ROC-AUC is 0.536. No claim of generalization, deployment-readiness or field performance is made.</w:t>
            </w:r>
          </w:p>
        </w:tc>
        <w:tc>
          <w:tcPr>
            <w:tcW w:type="dxa" w:w="1080"/>
          </w:tcPr>
          <w:p>
            <w:r>
              <w:rPr>
                <w:sz w:val="18"/>
              </w:rPr>
              <w:t>T08, T10, T16, T-S5</w:t>
            </w:r>
          </w:p>
        </w:tc>
        <w:tc>
          <w:tcPr>
            <w:tcW w:type="dxa" w:w="1080"/>
          </w:tcPr>
          <w:p>
            <w:r>
              <w:rPr>
                <w:sz w:val="18"/>
              </w:rPr>
              <w:t>outputs/06_binary_results/final_model_selection.csv; outputs/06_binary_results/EXP-A2/aggregate_metrics.csv; outputs/09_ablation/T-S5_leave_one_source_out_generalization.csv; outputs/08_circor_external_validation/T16_cross_dataset_generalization.csv</w:t>
            </w:r>
          </w:p>
        </w:tc>
      </w:tr>
      <w:tr>
        <w:tc>
          <w:tcPr>
            <w:tcW w:type="dxa" w:w="1080"/>
          </w:tcPr>
          <w:p>
            <w:r>
              <w:rPr>
                <w:sz w:val="18"/>
              </w:rPr>
              <w:t>2</w:t>
            </w:r>
          </w:p>
        </w:tc>
        <w:tc>
          <w:tcPr>
            <w:tcW w:type="dxa" w:w="1080"/>
          </w:tcPr>
          <w:p>
            <w:r>
              <w:rPr>
                <w:sz w:val="18"/>
              </w:rPr>
              <w:t>State-of-the-art review</w:t>
            </w:r>
          </w:p>
        </w:tc>
        <w:tc>
          <w:tcPr>
            <w:tcW w:type="dxa" w:w="1080"/>
          </w:tcPr>
          <w:p>
            <w:r>
              <w:rPr>
                <w:sz w:val="18"/>
              </w:rPr>
              <w:t>Preprocessing (PP-09, M1): the four filter x normalization arms span 0.012 in sensitivity against a mean fold SD of 0.045; the shipped arm is PP-A, and PP-D scores the highest balanced accuracy. Feature families (EXP-F1, M1): strongest single family time (sensitivity 0.853), weakest mfcc (0.824); the selected 20-feature subset changes sensitivity by +0.025 against all 138, winning 19 of 25 folds.</w:t>
            </w:r>
          </w:p>
        </w:tc>
        <w:tc>
          <w:tcPr>
            <w:tcW w:type="dxa" w:w="1080"/>
          </w:tcPr>
          <w:p>
            <w:r>
              <w:rPr>
                <w:sz w:val="18"/>
              </w:rPr>
              <w:t>Achieved: both ablations and the literature review are produced</w:t>
            </w:r>
          </w:p>
        </w:tc>
        <w:tc>
          <w:tcPr>
            <w:tcW w:type="dxa" w:w="1080"/>
          </w:tcPr>
          <w:p>
            <w:r>
              <w:rPr>
                <w:sz w:val="18"/>
              </w:rPr>
              <w:t>Partial while any evidence the blueprint requires is missing (T29).</w:t>
            </w:r>
          </w:p>
        </w:tc>
        <w:tc>
          <w:tcPr>
            <w:tcW w:type="dxa" w:w="1080"/>
          </w:tcPr>
          <w:p>
            <w:r>
              <w:rPr>
                <w:sz w:val="18"/>
              </w:rPr>
              <w:t>The preprocessing arms are indistinguishable -- their sensitivity span is below one fold SD -- so the shipped configuration rests on its design argument, not on a measured gain. Chroma and envelope have no solo arm, and both ablations ran on PhysioNet 2016 only.</w:t>
            </w:r>
          </w:p>
        </w:tc>
        <w:tc>
          <w:tcPr>
            <w:tcW w:type="dxa" w:w="1080"/>
          </w:tcPr>
          <w:p>
            <w:r>
              <w:rPr>
                <w:sz w:val="18"/>
              </w:rPr>
              <w:t>PP-09, T17, T18, LIT-01, LIT-02, T29</w:t>
            </w:r>
          </w:p>
        </w:tc>
        <w:tc>
          <w:tcPr>
            <w:tcW w:type="dxa" w:w="1080"/>
          </w:tcPr>
          <w:p>
            <w:r>
              <w:rPr>
                <w:sz w:val="18"/>
              </w:rPr>
              <w:t>outputs/02_preprocessing/preprocessing_ablation.csv; outputs/09_ablation/T17_feature_family_ablation.csv; outputs/09_ablation/T18_all_features_versus_selected_features.csv; outputs/16_literature_review/LIT-01_literature_review_and_state_of_the_art.csv</w:t>
            </w:r>
          </w:p>
        </w:tc>
      </w:tr>
      <w:tr>
        <w:tc>
          <w:tcPr>
            <w:tcW w:type="dxa" w:w="1080"/>
          </w:tcPr>
          <w:p>
            <w:r>
              <w:rPr>
                <w:sz w:val="18"/>
              </w:rPr>
              <w:t>3</w:t>
            </w:r>
          </w:p>
        </w:tc>
        <w:tc>
          <w:tcPr>
            <w:tcW w:type="dxa" w:w="1080"/>
          </w:tcPr>
          <w:p>
            <w:r>
              <w:rPr>
                <w:sz w:val="18"/>
              </w:rPr>
              <w:t>Heterogeneous ensemble</w:t>
            </w:r>
          </w:p>
        </w:tc>
        <w:tc>
          <w:tcPr>
            <w:tcW w:type="dxa" w:w="1080"/>
          </w:tcPr>
          <w:p>
            <w:r>
              <w:rPr>
                <w:sz w:val="18"/>
              </w:rPr>
              <w:t>EXP-A2 (tuned): ensemble M6 sensitivity 0.862 vs M1 0.865 (Holm p=1.000), balanced accuracy 0.856 vs 0.847 (Holm p=0.296). EXP-A1 (defaults): M6 sensitivity 0.879 vs 0.848 (Holm p=0.032). Optimized weights (M7) equal M6 on 23 of 25 folds. ECE (EXP-A2): M6 0.073, M1 0.051.</w:t>
            </w:r>
          </w:p>
        </w:tc>
        <w:tc>
          <w:tcPr>
            <w:tcW w:type="dxa" w:w="1080"/>
          </w:tcPr>
          <w:p>
            <w:r>
              <w:rPr>
                <w:sz w:val="18"/>
              </w:rPr>
              <w:t>Ensemble implemented and evaluated; not significantly better than the simplest model (M1) in the final, tuned configuration; significantly better only with default hyperparameters</w:t>
            </w:r>
          </w:p>
        </w:tc>
        <w:tc>
          <w:tcPr>
            <w:tcW w:type="dxa" w:w="1080"/>
          </w:tcPr>
          <w:p>
            <w:r>
              <w:rPr>
                <w:sz w:val="18"/>
              </w:rPr>
              <w:t>A difference is called significant only at Holm-corrected p &lt; 0.05 over the n=25 paired folds (T28), and only in the stated direction.</w:t>
            </w:r>
          </w:p>
        </w:tc>
        <w:tc>
          <w:tcPr>
            <w:tcW w:type="dxa" w:w="1080"/>
          </w:tcPr>
          <w:p>
            <w:r>
              <w:rPr>
                <w:sz w:val="18"/>
              </w:rPr>
              <w:t>Tuning the members moved the ensemble's sensitivity from 0.879 (defaults) to 0.862 (tuned); the weight search returned equal or prediction-equivalent weights, so M7 adds nothing measurable on this corpus.</w:t>
            </w:r>
          </w:p>
        </w:tc>
        <w:tc>
          <w:tcPr>
            <w:tcW w:type="dxa" w:w="1080"/>
          </w:tcPr>
          <w:p>
            <w:r>
              <w:rPr>
                <w:sz w:val="18"/>
              </w:rPr>
              <w:t>T08, T09, T19, T23, T28</w:t>
            </w:r>
          </w:p>
        </w:tc>
        <w:tc>
          <w:tcPr>
            <w:tcW w:type="dxa" w:w="1080"/>
          </w:tcPr>
          <w:p>
            <w:r>
              <w:rPr>
                <w:sz w:val="18"/>
              </w:rPr>
              <w:t>outputs/12_statistics/paired_fold_tests_interpreted.csv; outputs/06_binary_results/T09_equal_weight_versus_optimized_ensemble.csv; outputs/10_robustness/T23_calibration_and_confidence_summary.csv; outputs/09_ablation/T19_search_and_optimization_ablation.csv</w:t>
            </w:r>
          </w:p>
        </w:tc>
      </w:tr>
      <w:tr>
        <w:tc>
          <w:tcPr>
            <w:tcW w:type="dxa" w:w="1080"/>
          </w:tcPr>
          <w:p>
            <w:r>
              <w:rPr>
                <w:sz w:val="18"/>
              </w:rPr>
              <w:t>4</w:t>
            </w:r>
          </w:p>
        </w:tc>
        <w:tc>
          <w:tcPr>
            <w:tcW w:type="dxa" w:w="1080"/>
          </w:tcPr>
          <w:p>
            <w:r>
              <w:rPr>
                <w:sz w:val="18"/>
              </w:rPr>
              <w:t>Short, noisy, single recordings</w:t>
            </w:r>
          </w:p>
        </w:tc>
        <w:tc>
          <w:tcPr>
            <w:tcW w:type="dxa" w:w="1080"/>
          </w:tcPr>
          <w:p>
            <w:r>
              <w:rPr>
                <w:sz w:val="18"/>
              </w:rPr>
              <w:t>Noise (PP-08 groups, EXP-A2 M1): sensitivity 0.901 on clean vs 0.595 on noisy recordings; with added white noise, 0.673 at none, 0.173 at 10 dB SNR and 0.000 at 0 dB. Duration: 0.944 on long vs 0.709 on medium-length recordings; a 3 s clip gives 0.462 against 0.673 untruncated. Confidence: error rate 0.479 in the lowest band vs 0.030 in the highest. Location (CirCor outcome): balanced accuracy 0.604 at MV vs 0.589 at AV.</w:t>
            </w:r>
          </w:p>
        </w:tc>
        <w:tc>
          <w:tcPr>
            <w:tcW w:type="dxa" w:w="1080"/>
          </w:tcPr>
          <w:p>
            <w:r>
              <w:rPr>
                <w:sz w:val="18"/>
              </w:rPr>
              <w:t>Robustness measured on all four corpora; performance degrades on noisy, shorter and low-confidence recordings</w:t>
            </w:r>
          </w:p>
        </w:tc>
        <w:tc>
          <w:tcPr>
            <w:tcW w:type="dxa" w:w="1080"/>
          </w:tcPr>
          <w:p>
            <w:r>
              <w:rPr>
                <w:sz w:val="18"/>
              </w:rPr>
              <w:t>Degradation is stated only where the noisy or shorter group's sensitivity is below the clean or longer group's for the final model.</w:t>
            </w:r>
          </w:p>
        </w:tc>
        <w:tc>
          <w:tcPr>
            <w:tcW w:type="dxa" w:w="1080"/>
          </w:tcPr>
          <w:p>
            <w:r>
              <w:rPr>
                <w:sz w:val="18"/>
              </w:rPr>
              <w:t>Noise and duration groups are observational -- recordings differ in more than noise or length. The AWGN sweep and the truncation study are single-split interventional checks on a PhysioNet subset.</w:t>
            </w:r>
          </w:p>
        </w:tc>
        <w:tc>
          <w:tcPr>
            <w:tcW w:type="dxa" w:w="1080"/>
          </w:tcPr>
          <w:p>
            <w:r>
              <w:rPr>
                <w:sz w:val="18"/>
              </w:rPr>
              <w:t>T20, T21, T22, T27</w:t>
            </w:r>
          </w:p>
        </w:tc>
        <w:tc>
          <w:tcPr>
            <w:tcW w:type="dxa" w:w="1080"/>
          </w:tcPr>
          <w:p>
            <w:r>
              <w:rPr>
                <w:sz w:val="18"/>
              </w:rPr>
              <w:t>outputs/09_robustness_analysis/T20_noise_robustness.csv; outputs/09_robustness_analysis/T21_duration_robustness.csv; outputs/08_circor_external_validation/T22_auscultation_location_analysis.csv; outputs/10_robustness/T27_false_positive_and_false_negative_analysis.csv</w:t>
            </w:r>
          </w:p>
        </w:tc>
      </w:tr>
      <w:tr>
        <w:tc>
          <w:tcPr>
            <w:tcW w:type="dxa" w:w="1080"/>
          </w:tcPr>
          <w:p>
            <w:r>
              <w:rPr>
                <w:sz w:val="18"/>
              </w:rPr>
              <w:t>5</w:t>
            </w:r>
          </w:p>
        </w:tc>
        <w:tc>
          <w:tcPr>
            <w:tcW w:type="dxa" w:w="1080"/>
          </w:tcPr>
          <w:p>
            <w:r>
              <w:rPr>
                <w:sz w:val="18"/>
              </w:rPr>
              <w:t>Search-driven optimization</w:t>
            </w:r>
          </w:p>
        </w:tc>
        <w:tc>
          <w:tcPr>
            <w:tcW w:type="dxa" w:w="1080"/>
          </w:tcPr>
          <w:p>
            <w:r>
              <w:rPr>
                <w:sz w:val="18"/>
              </w:rPr>
              <w:t>Optimization stages (EXP-F2, sensitivity): 0.848 for the untuned single model, 0.879 at the best stage (default_ensemble), 0.862 after the full search and weight optimization. Selected subset: 20 of 138 features, sensitivity +0.025 for M1. Complexity: M1 predicts one record in 0.0014 s against the ensemble's 0.1829 s (130.1x); the whole pipeline takes 2.34 s per recording.</w:t>
            </w:r>
          </w:p>
        </w:tc>
        <w:tc>
          <w:tcPr>
            <w:tcW w:type="dxa" w:w="1080"/>
          </w:tcPr>
          <w:p>
            <w:r>
              <w:rPr>
                <w:sz w:val="18"/>
              </w:rPr>
              <w:t>Search applied to hyperparameters, feature subset and ensemble weights; its measured benefit is complexity, not sensitivity -- the best-scoring stage is default_ensemble, not the fully optimized one</w:t>
            </w:r>
          </w:p>
        </w:tc>
        <w:tc>
          <w:tcPr>
            <w:tcW w:type="dxa" w:w="1080"/>
          </w:tcPr>
          <w:p>
            <w:r>
              <w:rPr>
                <w:sz w:val="18"/>
              </w:rPr>
              <w:t>All stages are scored on the same 25 folds; the stage with the highest mean sensitivity is named, and no stage is called an improvement from a difference of means alone.</w:t>
            </w:r>
          </w:p>
        </w:tc>
        <w:tc>
          <w:tcPr>
            <w:tcW w:type="dxa" w:w="1080"/>
          </w:tcPr>
          <w:p>
            <w:r>
              <w:rPr>
                <w:sz w:val="18"/>
              </w:rPr>
              <w:t>The nested search ran at a reduced budget. Everything before the prediction -- loading, preprocessing and feature extraction -- is 99.9% of a recording's pipeline time, so a faster model does not make screening proportionally faster.</w:t>
            </w:r>
          </w:p>
        </w:tc>
        <w:tc>
          <w:tcPr>
            <w:tcW w:type="dxa" w:w="1080"/>
          </w:tcPr>
          <w:p>
            <w:r>
              <w:rPr>
                <w:sz w:val="18"/>
              </w:rPr>
              <w:t>T07, T18, T19, T24, T25</w:t>
            </w:r>
          </w:p>
        </w:tc>
        <w:tc>
          <w:tcPr>
            <w:tcW w:type="dxa" w:w="1080"/>
          </w:tcPr>
          <w:p>
            <w:r>
              <w:rPr>
                <w:sz w:val="18"/>
              </w:rPr>
              <w:t>outputs/09_ablation/T19_search_and_optimization_ablation.csv; outputs/09_ablation/T18_all_features_versus_selected_features.csv; outputs/11_complexity/T24_complexity_analysis.csv</w:t>
            </w:r>
          </w:p>
        </w:tc>
      </w:tr>
      <w:tr>
        <w:tc>
          <w:tcPr>
            <w:tcW w:type="dxa" w:w="1080"/>
          </w:tcPr>
          <w:p>
            <w:r>
              <w:rPr>
                <w:sz w:val="18"/>
              </w:rPr>
              <w:t>6</w:t>
            </w:r>
          </w:p>
        </w:tc>
        <w:tc>
          <w:tcPr>
            <w:tcW w:type="dxa" w:w="1080"/>
          </w:tcPr>
          <w:p>
            <w:r>
              <w:rPr>
                <w:sz w:val="18"/>
              </w:rPr>
              <w:t>More classes, more samples</w:t>
            </w:r>
          </w:p>
        </w:tc>
        <w:tc>
          <w:tcPr>
            <w:tcW w:type="dxa" w:w="1080"/>
          </w:tcPr>
          <w:p>
            <w:r>
              <w:rPr>
                <w:sz w:val="18"/>
              </w:rPr>
              <w:t>PASCAL A (EXP-B1, 4 classes): best macro-F1 0.626 (M4, record-level 95% CI [0.5529, 0.7026]). PASCAL B (EXP-B2, 3 classes): best macro-F1 0.470 (M1); 2 of 6 models never predict one class. CirCor murmur (EXP-C1, 3 classes): best balanced accuracy 0.547 per recording and 0.480 per patient, against a chance level of 0.333. CirCor outcome (EXP-C2): best balanced accuracy 0.619 per patient.</w:t>
            </w:r>
          </w:p>
        </w:tc>
        <w:tc>
          <w:tcPr>
            <w:tcW w:type="dxa" w:w="1080"/>
          </w:tcPr>
          <w:p>
            <w:r>
              <w:rPr>
                <w:sz w:val="18"/>
              </w:rPr>
              <w:t>Implemented on four separate multiclass and large-sample tasks; performance is modest, and the PASCAL A model ranking is not distinguishable at this sample size</w:t>
            </w:r>
          </w:p>
        </w:tc>
        <w:tc>
          <w:tcPr>
            <w:tcW w:type="dxa" w:w="1080"/>
          </w:tcPr>
          <w:p>
            <w:r>
              <w:rPr>
                <w:sz w:val="18"/>
              </w:rPr>
              <w:t>A ranking is called distinguishable only if the top model's record-level 95% CI clears every other model's.</w:t>
            </w:r>
          </w:p>
        </w:tc>
        <w:tc>
          <w:tcPr>
            <w:tcW w:type="dxa" w:w="1080"/>
          </w:tcPr>
          <w:p>
            <w:r>
              <w:rPr>
                <w:sz w:val="18"/>
              </w:rPr>
              <w:t>PASCAL A is small and its best-detected class, 'artifact', is a recording-quality label, not a cardiac class. The PhysioNet diagnosis track held within one recording source scores balanced accuracy 0.373 against a chance level of 0.333, so it does not carry this objective.</w:t>
            </w:r>
          </w:p>
        </w:tc>
        <w:tc>
          <w:tcPr>
            <w:tcW w:type="dxa" w:w="1080"/>
          </w:tcPr>
          <w:p>
            <w:r>
              <w:rPr>
                <w:sz w:val="18"/>
              </w:rPr>
              <w:t>T11, T12, T13, T14, T15, T-S3</w:t>
            </w:r>
          </w:p>
        </w:tc>
        <w:tc>
          <w:tcPr>
            <w:tcW w:type="dxa" w:w="1080"/>
          </w:tcPr>
          <w:p>
            <w:r>
              <w:rPr>
                <w:sz w:val="18"/>
              </w:rPr>
              <w:t>outputs/07_multiclass_results/T11_pascal_a_multiclass_results.csv; outputs/07_multiclass_results/T12_pascal_b_multiclass_results.csv; outputs/08_circor_external_validation/T13_circor_murmur_classification_results.csv; outputs/08_circor_external_validation/T14_circor_clinical_outcome_results.csv; outputs/07_multiclass_results/T-S3_physionet_diagnosis_multiclass_within_one_source.csv; outputs/07_multiclass_results/T-S4_diagnosis_per_class_results_within_one_source.csv</w:t>
            </w:r>
          </w:p>
        </w:tc>
      </w:tr>
    </w:tbl>
    <w:p>
      <w:r>
        <w:rPr>
          <w:i/>
          <w:sz w:val="16"/>
        </w:rPr>
        <w:t>Every number in this table is generated from the files named in its row and formatted by the table engine's rules; none is typed.</w:t>
      </w:r>
    </w:p>
    <w:p>
      <w:r>
        <w:rPr>
          <w:i/>
          <w:sz w:val="16"/>
        </w:rPr>
        <w:t>Each verdict follows the rule stated beside it. The verdicts describe an academic screening and decision-support prototype evaluated on public corpora; none is a statement about clinical use.</w:t>
      </w:r>
    </w:p>
    <w:p>
      <w:r>
        <w:rPr>
          <w:i/>
          <w:sz w:val="16"/>
        </w:rPr>
        <w:t>All PhysioNet results are cross-validated within the PhysioNet 2016 corpus; objective 1's limitation states how far they fall outside it.</w:t>
      </w:r>
    </w:p>
    <w:p>
      <w:r>
        <w:rPr>
          <w:i/>
          <w:sz w:val="16"/>
        </w:rPr>
        <w:t>PV-MEPCG / PulseVision is an academic screening and decision-support prototype, not a diagnostic tool.</w:t>
      </w:r>
    </w:p>
    <w:p>
      <w:r>
        <w:rPr>
          <w:i/>
          <w:sz w:val="14"/>
        </w:rPr>
        <w:t>Table T30 -- Final Conclusion Matrix</w:t>
      </w:r>
    </w:p>
    <w:p>
      <w:r>
        <w:rPr>
          <w:i/>
          <w:sz w:val="14"/>
        </w:rPr>
        <w:t>Experiment: all experiments (conclusions)</w:t>
      </w:r>
    </w:p>
    <w:p>
      <w:r>
        <w:rPr>
          <w:i/>
          <w:sz w:val="14"/>
        </w:rPr>
        <w:t>Objective: O1-O6</w:t>
      </w:r>
    </w:p>
    <w:p>
      <w:r>
        <w:rPr>
          <w:i/>
          <w:sz w:val="14"/>
        </w:rPr>
        <w:t>Source: outputs/06_binary_results/final_model_selection.csv; outputs/06_binary_results/EXP-A2/aggregate_metrics.csv; outputs/09_ablation/T-S5_leave_one_source_out_generalization.csv; outputs/08_circor_external_validation/T16_cross_dataset_generalization.csv; outputs/02_preprocessing/preprocessing_ablation.csv; outputs/09_ablation/T17_feature_family_ablation.csv; outputs/09_ablation/T18_all_features_versus_selected_features.csv; outputs/16_literature_review/LIT-01_literature_review_and_state_of_the_art.csv; outputs/12_statistics/paired_fold_tests_interpreted.csv; outputs/06_binary_results/T09_equal_weight_versus_optimized_ensemble.csv; outputs/10_robustness/T23_calibration_and_confidence_summary.csv; outputs/09_ablation/T19_search_and_optimization_ablation.csv; outputs/09_robustness_analysis/T20_noise_robustness.csv; outputs/09_robustness_analysis/T21_duration_robustness.csv; outputs/08_circor_external_validation/T22_auscultation_location_analysis.csv; outputs/10_robustness/T27_false_positive_and_false_negative_analysis.csv; outputs/11_complexity/T24_complexity_analysis.csv; outputs/07_multiclass_results/T11_pascal_a_multiclass_results.csv; outputs/07_multiclass_results/T12_pascal_b_multiclass_results.csv; outputs/08_circor_external_validation/T13_circor_murmur_classification_results.csv; outputs/08_circor_external_validation/T14_circor_clinical_outcome_results.csv; outputs/07_multiclass_results/T-S3_physionet_diagnosis_multiclass_within_one_source.csv; outputs/07_multiclass_results/T-S4_diagnosis_per_class_results_within_one_source.csv</w:t>
      </w:r>
    </w:p>
    <w:p>
      <w:r>
        <w:rPr>
          <w:i/>
          <w:sz w:val="14"/>
        </w:rPr>
        <w:t>Generated by PV-MEPCG / PulseVision at 2026-09-11T13:18:04.286596+00:00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