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T-S3. PhysioNet Diagnosis Multiclass (within one source)</w:t>
      </w:r>
    </w:p>
    <w:p>
      <w:r>
        <w:rPr>
          <w:sz w:val="18"/>
        </w:rPr>
        <w:t>Supplementary multiclass evidence for Objective 6 on 292 abnormal PhysioNet recordings over 58 subjects, subject-grouped 5-fold, balanced class weighting. Eight diagnosis classes were merged to 3 by the policy in diagnosis_class_merge_policy.csv. Two intervals are reported on every metric because they answer different questions: the fold interval is a Student-t interval over 5 folds, the record interval a percentile bootstrap over recordings. Ranked by macro-F1.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>
        <w:tc>
          <w:tcPr>
            <w:tcW w:type="dxa" w:w="29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Classes predicted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Degenerate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[0.2441, 0.4212]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[0.3001, 0.3806]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0.373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[0.2926, 0.4539]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[0.3316, 0.4109]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0.373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[0.2926, 0.4539]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[0.3316, 0.4109]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0.323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[0.2331, 0.4124]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[0.2853, 0.3685]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[0.3163, 0.5547]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[0.3863, 0.5078]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0.089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[0.3811, 0.6017]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[0.4281, 0.5479]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0.331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[0.2739, 0.3887]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[0.2917, 0.3867]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0.351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[0.3138, 0.3888]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[0.3079, 0.3966]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0.351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[0.3138, 0.3888]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[0.3079, 0.3966]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0.330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[0.2461, 0.4137]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[0.2785, 0.4117]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[0.3614, 0.4834]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[0.3702, 0.4865]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0.452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[0.4137, 0.4911]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[0.3972, 0.5103]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[0.2376, 0.4106]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[0.2892, 0.3819]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0.348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[0.2752, 0.4214]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[0.3043, 0.3908]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0.348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[0.2752, 0.4214]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[0.3043, 0.3908]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0.317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[0.2242, 0.4106]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[0.2761, 0.4148]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0.413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[0.3001, 0.5256]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[0.3651, 0.4811]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[0.3490, 0.5433]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[0.3870, 0.5034]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0.305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[0.2771, 0.3331]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[0.2651, 0.3603]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0.309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[0.2776, 0.3400]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[0.2596, 0.3599]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0.309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[0.2776, 0.3400]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[0.2596, 0.3599]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0.313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[0.2751, 0.3519]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[0.2726, 0.3682]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0.371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[0.3376, 0.4050]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[0.3219, 0.4355]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0.367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[0.3383, 0.3954]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[0.3151, 0.4247]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0.300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[0.1961, 0.4033]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[0.2816, 0.3579]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0.343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[0.2640, 0.4222]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[0.3032, 0.3828]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0.343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[0.2640, 0.4222]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[0.3032, 0.3828]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0.287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[0.1854, 0.3890]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[0.2655, 0.3441]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0.393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0.109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[0.2574, 0.5278]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[0.3601, 0.4752]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0.450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[0.3479, 0.5513]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[0.3938, 0.5034]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0.295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[0.2238, 0.3671]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[0.2732, 0.3518]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0.347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[0.2841, 0.4108]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[0.3064, 0.3838]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0.347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[0.2841, 0.4108]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[0.3064, 0.3838]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0.302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[0.2169, 0.3872]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[0.2614, 0.3460]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0.388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[0.2950, 0.4817]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[0.3499, 0.4706]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[0.3717, 0.5484]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[0.4007, 0.5171]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</w:tbl>
    <w:p>
      <w:r>
        <w:rPr>
          <w:i/>
          <w:sz w:val="16"/>
        </w:rPr>
        <w:t>**THE RECORDING SOURCE IS CONSTANT IN THIS TABLE.** Every record is from training-a, so the sub-collection shortcut that EXP-G1's full five-class track was found to be taking is arithmetically unavailable here: a source-only predictor degenerates to always predicting the majority class, and scores macro-F1 0.2097 / balanced accuracy 0.3333. Model(s) beating that trivial baseline: M6, M5, M4, M1, M7, M3. This is the de-confounded evidence; the five-class table (T-S1) is reported beside it as the negative result.</w:t>
      </w:r>
    </w:p>
    <w:p>
      <w:r>
        <w:rPr>
          <w:i/>
          <w:sz w:val="16"/>
        </w:rPr>
        <w:t>This track covers the ABNORMAL recordings only. The 2,575 normal recordings are not a class here: including them would make the largest class 39 times the smallest and would restate the binary task, which EXP-A1 answers on all 3,240 records.</w:t>
      </w:r>
    </w:p>
    <w:p>
      <w:r>
        <w:rPr>
          <w:i/>
          <w:sz w:val="16"/>
        </w:rPr>
        <w:t>'Benign, MVP, Other pathologic' are the classes. 'Other pathologic' pools four conditions that are individually too small to estimate (MPC, AD, MR, AS). It is a statistical convenience and NOT a diagnosis -- no number for it may be read as a claim about any one of the four.</w:t>
      </w:r>
    </w:p>
    <w:p>
      <w:r>
        <w:rPr>
          <w:i/>
          <w:sz w:val="16"/>
        </w:rPr>
        <w:t>n = 5 folds. Every interval here is wide and most of them overlap between models; this is supplementary evidence on a small sample, not a model ranking that separates its models.</w:t>
      </w:r>
    </w:p>
    <w:p>
      <w:r>
        <w:rPr>
          <w:i/>
          <w:sz w:val="16"/>
        </w:rPr>
        <w:t>Nine subjects carry recordings under more than one diagnosis class. Grouping is by subject, so those subjects contribute to two classes within the same fold; no subject crosses a fold boundary.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T-S3 -- PhysioNet Diagnosis Multiclass (within one source)</w:t>
      </w:r>
    </w:p>
    <w:p>
      <w:r>
        <w:rPr>
          <w:i/>
          <w:sz w:val="14"/>
        </w:rPr>
        <w:t>Experiment: EXP-G1</w:t>
      </w:r>
    </w:p>
    <w:p>
      <w:r>
        <w:rPr>
          <w:i/>
          <w:sz w:val="14"/>
        </w:rPr>
        <w:t>Objective: O6 (multiclass classification)</w:t>
      </w:r>
    </w:p>
    <w:p>
      <w:r>
        <w:rPr>
          <w:i/>
          <w:sz w:val="14"/>
        </w:rPr>
        <w:t>Source: outputs/01_dataset_audit/metadata_master.csv; outputs/01_dataset_audit/diagnosis_split_map.csv; outputs/03_features/all_features_matrix.parquet</w:t>
      </w:r>
    </w:p>
    <w:p>
      <w:r>
        <w:rPr>
          <w:i/>
          <w:sz w:val="14"/>
        </w:rPr>
        <w:t>Generated by PV-MEPCG / PulseVision at 2026-09-10T07:37:40.476512+00:00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