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T-S5. Leave-One-Source-Out Generalization</w:t>
      </w:r>
    </w:p>
    <w:p>
      <w:r>
        <w:rPr>
          <w:sz w:val="18"/>
        </w:rPr>
        <w:t>The same models, features and seed evaluated two ways. 'Pooled 25-fold' is the DA-07 protocol, where every training fold contains records from all six PhysioNet sub-collections. 'Leave-one-source-out' holds out an entire sub-collection and trains on the other five, six times, so the model is tested on a recording setup it has never seen. The drop is the cost of that. Subjects never span sub-collections, so both protocols are subject-disjoint.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(pooled 25-fold)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(leave-one-source-out)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SD across sources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drop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(pooled 25-fold)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(leave-one-source-out)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SD across sources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drop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(pooled 25-fold)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(leave-one-source-out)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SD across sources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drop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(pooled 25-fold)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(leave-one-source-out)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SD across sources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drop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f1 (pooled 25-fold)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f1 (leave-one-source-out)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f1 SD across sources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f1 drop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0.332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0.168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0.277</w:t>
            </w:r>
          </w:p>
        </w:tc>
      </w:tr>
    </w:tbl>
    <w:p>
      <w:r>
        <w:rPr>
          <w:i/>
          <w:sz w:val="16"/>
        </w:rPr>
        <w:t>A source-only predictor scored on these same six folds reaches sensitivity 0.0000 and balanced accuracy 0.5000. Read every model number against that, not against 0.5.</w:t>
      </w:r>
    </w:p>
    <w:p>
      <w:r>
        <w:rPr>
          <w:i/>
          <w:sz w:val="16"/>
        </w:rPr>
        <w:t>**The mean over six folds hides a great deal.** training-e alone is 2,141 of the 3,240 records and is 8.5% abnormal; training-c is 31 records and 77.4% abnormal. Holding out training-e leaves a training set with a completely different class balance, and holding out training-c gives a 31-record test fold. The per-fold table is the deliverable.</w:t>
      </w:r>
    </w:p>
    <w:p>
      <w:r>
        <w:rPr>
          <w:i/>
          <w:sz w:val="16"/>
        </w:rPr>
        <w:t>A drop here is evidence that the model depends on the acquisition signature. It is NOT proof: holding out a collection also changes the class balance and the patient population, the same confounds EXP-D1 documents. The gap between a model and the source-only baseline on the same fold is the part neither explains.</w:t>
      </w:r>
    </w:p>
    <w:p>
      <w:r>
        <w:rPr>
          <w:i/>
          <w:sz w:val="16"/>
        </w:rPr>
        <w:t>This experiment exists because Phase 76 found that a no-audio source-only predictor reaches balanced accuracy 0.719 on the pooled binary task. See Docs/note.md, 2026-09-10.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T-S5 -- Leave-One-Source-Out Generalization</w:t>
      </w:r>
    </w:p>
    <w:p>
      <w:r>
        <w:rPr>
          <w:i/>
          <w:sz w:val="14"/>
        </w:rPr>
        <w:t>Experiment: EXP-F3</w:t>
      </w:r>
    </w:p>
    <w:p>
      <w:r>
        <w:rPr>
          <w:i/>
          <w:sz w:val="14"/>
        </w:rPr>
        <w:t>Objective: O4 (robustness), deployment realism</w:t>
      </w:r>
    </w:p>
    <w:p>
      <w:r>
        <w:rPr>
          <w:i/>
          <w:sz w:val="14"/>
        </w:rPr>
        <w:t>Source: outputs/03_features/all_features_matrix.parquet; outputs/01_dataset_audit/metadata_master.csv; outputs/06_binary_results/EXP-A1/aggregate_metrics.csv</w:t>
      </w:r>
    </w:p>
    <w:p>
      <w:r>
        <w:rPr>
          <w:i/>
          <w:sz w:val="14"/>
        </w:rPr>
        <w:t>Generated by PV-MEPCG / PulseVision at 2026-09-10T08:00:14.131219+00:00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