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T02. Class Distribution and Imbalance Ratio</w:t>
      </w:r>
    </w:p>
    <w:p>
      <w:r>
        <w:rPr>
          <w:sz w:val="18"/>
        </w:rPr>
        <w:t>Class counts for the five separate label spaces, over the supervised (labeled) records only. The five tasks are never merged: binary, PASCAL A four-class, PASCAL B three-class, CirCor murmur and CirCor outcome each have their own target. Imbalance ratio is relative to the largest class within the same 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Share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Imbalance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Subjects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abnormal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PhysioNet 2016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2,575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artifact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extrahls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2.105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murmur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1.177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extrastole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6.957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murmur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 set_b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Absent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2,391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15.327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Abnormal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1,531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1.066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 2022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1,632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486</w:t>
            </w:r>
          </w:p>
        </w:tc>
      </w:tr>
    </w:tbl>
    <w:p>
      <w:r>
        <w:rPr>
          <w:i/>
          <w:sz w:val="16"/>
        </w:rPr>
        <w:t>PASCAL's 'artifact' class is a recording-quality label, not a cardiac class. The four-class model is not a four-class cardiac classifier.</w:t>
      </w:r>
    </w:p>
    <w:p>
      <w:r>
        <w:rPr>
          <w:i/>
          <w:sz w:val="14"/>
        </w:rPr>
        <w:t>Table T02 -- Class Distribution and Imbalance Ratio</w:t>
      </w:r>
    </w:p>
    <w:p>
      <w:r>
        <w:rPr>
          <w:i/>
          <w:sz w:val="14"/>
        </w:rPr>
        <w:t>Experiment: n/a (not experiment-bound)</w:t>
      </w:r>
    </w:p>
    <w:p>
      <w:r>
        <w:rPr>
          <w:i/>
          <w:sz w:val="14"/>
        </w:rPr>
        <w:t>Objective: O1 (corpus definition)</w:t>
      </w:r>
    </w:p>
    <w:p>
      <w:r>
        <w:rPr>
          <w:i/>
          <w:sz w:val="14"/>
        </w:rPr>
        <w:t>Source: outputs/01_dataset_audit/class_distribution.csv</w:t>
      </w:r>
    </w:p>
    <w:p>
      <w:r>
        <w:rPr>
          <w:i/>
          <w:sz w:val="14"/>
        </w:rPr>
        <w:t>Generated by PV-MEPCG / PulseVision at 2026-08-30T10:47:59.680983+00:00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