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Q1_T01. Dataset Summary</w:t>
      </w:r>
    </w:p>
    <w:p>
      <w:r>
        <w:rPr>
          <w:sz w:val="18"/>
        </w:rPr>
        <w:t>The four corpora, the recordings each contributes and the task it carries. Label spaces are never merged.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Recordings used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Files in folder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Subjects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Subject IDs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Classes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Native fs (Hz)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Analysis fs (Hz)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PhysioNet 2016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3,240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3,541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857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derived (filename and appendix patterns)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21.98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primary binary track (EXP-A1, EXP-A2, EXP-F1, EXP-F2, EXP-G1)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outputs/01_dataset_audit/T01_dataset_inventory.csv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none (record-level 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44,100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four-class audio track (EXP-B1)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outputs/01_dataset_audit/T01_dataset_inventory.csv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PASCAL set_b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656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derived (filename subject and timestamp)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1.19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three-class track (EXP-B2)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outputs/01_dataset_audit/T01_dataset_inventory.csv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native (patient id)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20.09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murmur and outcome tracks, external validation (EXP-C1..C3, EXP-D1)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outputs/01_dataset_audit/T01_dataset_inventory.csv</w:t>
            </w:r>
          </w:p>
        </w:tc>
      </w:tr>
    </w:tbl>
    <w:p>
      <w:r>
        <w:rPr>
          <w:i/>
          <w:sz w:val="16"/>
        </w:rPr>
        <w:t>'Files in folder' exceeds 'recordings used' where material is unlabelled or, for PhysioNet, where the validation folder duplicates training records.</w:t>
      </w:r>
    </w:p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Q1_T01 -- Dataset Summary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O1, O6</w:t>
      </w:r>
    </w:p>
    <w:p>
      <w:r>
        <w:rPr>
          <w:i/>
          <w:sz w:val="14"/>
        </w:rPr>
        <w:t>Source: outputs/01_dataset_audit/T01_dataset_inventory.csv</w:t>
      </w:r>
    </w:p>
    <w:p>
      <w:r>
        <w:rPr>
          <w:i/>
          <w:sz w:val="14"/>
        </w:rPr>
        <w:t>Generated by PV-MEPCG / PulseVision at 2026-09-11T14:19:00.548893+00:00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