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Q1_T04. Individual versus Ensemble</w:t>
      </w:r>
    </w:p>
    <w:p>
      <w:r>
        <w:rPr>
          <w:sz w:val="18"/>
        </w:rPr>
        <w:t>Every model under the nested search on PhysioNet 2016, ranked by sensitivity then balanced accuracy. Within the PhysioNet 2016 corpus (subject-grouped cross-validation); not a generalization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Sens. SD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Bal. acc. SD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XGBoost / LightGBM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outputs/06_binary_results/T08_physionet_individual_model_comparison.csv</w:t>
            </w:r>
          </w:p>
        </w:tc>
      </w:tr>
    </w:tbl>
    <w:p>
      <w:r>
        <w:rPr>
          <w:i/>
          <w:sz w:val="16"/>
        </w:rPr>
        <w:t>The final model M1 and the equal-weight ensemble M6 are statistically tied on sensitivity; M1 is the simpler model and is what the pre-registered rule selects. Neither is described as outperforming the other.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Q1_T04 -- Individual versus Ensemble</w:t>
      </w:r>
    </w:p>
    <w:p>
      <w:r>
        <w:rPr>
          <w:i/>
          <w:sz w:val="14"/>
        </w:rPr>
        <w:t>Experiment: EXP-A2</w:t>
      </w:r>
    </w:p>
    <w:p>
      <w:r>
        <w:rPr>
          <w:i/>
          <w:sz w:val="14"/>
        </w:rPr>
        <w:t>Objective: O1, O3</w:t>
      </w:r>
    </w:p>
    <w:p>
      <w:r>
        <w:rPr>
          <w:i/>
          <w:sz w:val="14"/>
        </w:rPr>
        <w:t>Source: outputs/06_binary_results/T08_physionet_individual_model_comparison.csv</w:t>
      </w:r>
    </w:p>
    <w:p>
      <w:r>
        <w:rPr>
          <w:i/>
          <w:sz w:val="14"/>
        </w:rPr>
        <w:t>Generated by PV-MEPCG / PulseVision at 2026-09-11T14:19:01.404242+00:00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