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T10. PhysioNet Fold-wise Results</w:t>
      </w:r>
    </w:p>
    <w:p>
      <w:r>
        <w:rPr>
          <w:sz w:val="18"/>
        </w:rPr>
        <w:t>The fold-wise distribution of every reported metric for every model on the PhysioNet 2016 binary task: mean, SD, minimum and maximum over the 25 folds of the repeated 5x5 subject-grouped map, for EXP-A1 (default hyperparameters) and EXP-A2 (nested search).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Folds defined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0.779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0.916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0.843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0.780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0.884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0.687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0.589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0.740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0.878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0.947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0.776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0.884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0.809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0.882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0.969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0.737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0.853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0.691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0.579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0.769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0.954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0.877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0.913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0.748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0.580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0.878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0.876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0.981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0.842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0.780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0.899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0.751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0.827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0.942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0.970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0.930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0.695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0.908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0.959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0.789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0.897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0.734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0.629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0.814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0.936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0.883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0.964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0.880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0.748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0.940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0.859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0.796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0.894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0.796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0.896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0.969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0.784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0.915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0.885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0.933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0.876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0.979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0.844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0.780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0.897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0.813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0.941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0.894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0.970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0.896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0.780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0.949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0.829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0.775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0.889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0.687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0.582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0.745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0.880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0.947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0.885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0.519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0.824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0.932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0.876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0.965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0.865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0.544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0.774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0.876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0.950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0.878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0.907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0.819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0.687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0.931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0.885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0.775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0.961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0.793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0.906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0.607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0.804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0.886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0.966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0.872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0.784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0.914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0.813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0.679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0.934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0.881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0.773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0.969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0.789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0.900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0.719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0.809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0.936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0.887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0.970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0.867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0.785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0.985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0.739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0.947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0.797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0.903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0.709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0.594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0.782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0.891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0.969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0.853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0.762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0.908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0.985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0.739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0.947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0.797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0.903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0.708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0.594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0.782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0.891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0.969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0.762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0.908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0.070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0.687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0.931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0.957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0.789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0.888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0.797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0.884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0.966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0.864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0.918</w:t>
            </w:r>
          </w:p>
        </w:tc>
      </w:tr>
    </w:tbl>
    <w:p>
      <w:r>
        <w:rPr>
          <w:i/>
          <w:sz w:val="16"/>
        </w:rPr>
        <w:t>SD is the sample SD across folds (ddof=1). The 25 training sets of a repeated CV overlap heavily, so dividing it by the square root of 25 would give an interval far too narrow; it is reported as a spread.</w:t>
      </w:r>
    </w:p>
    <w:p>
      <w:r>
        <w:rPr>
          <w:i/>
          <w:sz w:val="16"/>
        </w:rPr>
        <w:t>Every per-fold value behind these rows is kept in the run's per_fold_metrics.csv and in T10_fold_wise_results.csv; the Phase 82 paired tests are computed on them.</w:t>
      </w:r>
    </w:p>
    <w:p>
      <w:r>
        <w:rPr>
          <w:i/>
          <w:sz w:val="16"/>
        </w:rPr>
        <w:t>Every PhysioNet figure here is cross-validated WITHIN the PhysioNet 2016 corpus. Holding out one recording sub-collection at a time (EXP-F3, T-S5) takes ROC-AUC from 0.922-0.942 pooled to 0.426-0.533 across the 6 models, so no number here is a claim of generalization, deployment-readiness or field performance.</w:t>
      </w:r>
    </w:p>
    <w:p>
      <w:r>
        <w:rPr>
          <w:i/>
          <w:sz w:val="16"/>
        </w:rPr>
        <w:t>PV-MEPCG / PulseVision is an academic screening and decision-support prototype, not a diagnostic tool.</w:t>
      </w:r>
    </w:p>
    <w:p>
      <w:r>
        <w:rPr>
          <w:i/>
          <w:sz w:val="14"/>
        </w:rPr>
        <w:t>Table T10 -- PhysioNet Fold-wise Results</w:t>
      </w:r>
    </w:p>
    <w:p>
      <w:r>
        <w:rPr>
          <w:i/>
          <w:sz w:val="14"/>
        </w:rPr>
        <w:t>Experiment: EXP-A1, EXP-A2</w:t>
      </w:r>
    </w:p>
    <w:p>
      <w:r>
        <w:rPr>
          <w:i/>
          <w:sz w:val="14"/>
        </w:rPr>
        <w:t>Objective: O1 (normal versus abnormal), O3 (model comparison)</w:t>
      </w:r>
    </w:p>
    <w:p>
      <w:r>
        <w:rPr>
          <w:i/>
          <w:sz w:val="14"/>
        </w:rPr>
        <w:t>Source: outputs/06_binary_results/EXP-A1/per_fold_metrics.csv; outputs/06_binary_results/EXP-A2/per_fold_metrics.csv; outputs/09_ablation/T-S5_leave_one_source_out_generalization.csv</w:t>
      </w:r>
    </w:p>
    <w:p>
      <w:r>
        <w:rPr>
          <w:i/>
          <w:sz w:val="14"/>
        </w:rPr>
        <w:t>Generated by PV-MEPCG / PulseVision at 2026-09-10T16:53:55.836109+00:00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