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T29. Objective-to-Evidence Mapping</w:t>
      </w:r>
    </w:p>
    <w:p>
      <w:r>
        <w:rPr>
          <w:sz w:val="18"/>
        </w:rPr>
        <w:t>Each of the six locked objectives of PV-MEPCG / PulseVision, quoted verbatim, against the datasets and evidence the blueprint's objective mapping requires, the modules that implement it and the files that evidence it. Every module and file named was checked to exist when the table was built.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8"/>
              </w:rPr>
              <w:t>Objective</w:t>
            </w:r>
          </w:p>
        </w:tc>
        <w:tc>
          <w:tcPr>
            <w:tcW w:type="dxa" w:w="785"/>
          </w:tcPr>
          <w:p>
            <w:r>
              <w:rPr>
                <w:b/>
                <w:sz w:val="18"/>
              </w:rPr>
              <w:t>Handle</w:t>
            </w:r>
          </w:p>
        </w:tc>
        <w:tc>
          <w:tcPr>
            <w:tcW w:type="dxa" w:w="785"/>
          </w:tcPr>
          <w:p>
            <w:r>
              <w:rPr>
                <w:b/>
                <w:sz w:val="18"/>
              </w:rPr>
              <w:t>Locked wording (verbatim)</w:t>
            </w:r>
          </w:p>
        </w:tc>
        <w:tc>
          <w:tcPr>
            <w:tcW w:type="dxa" w:w="785"/>
          </w:tcPr>
          <w:p>
            <w:r>
              <w:rPr>
                <w:b/>
                <w:sz w:val="18"/>
              </w:rPr>
              <w:t>Datasets (blueprint)</w:t>
            </w:r>
          </w:p>
        </w:tc>
        <w:tc>
          <w:tcPr>
            <w:tcW w:type="dxa" w:w="785"/>
          </w:tcPr>
          <w:p>
            <w:r>
              <w:rPr>
                <w:b/>
                <w:sz w:val="18"/>
              </w:rPr>
              <w:t>Required evidence (blueprint)</w:t>
            </w:r>
          </w:p>
        </w:tc>
        <w:tc>
          <w:tcPr>
            <w:tcW w:type="dxa" w:w="785"/>
          </w:tcPr>
          <w:p>
            <w:r>
              <w:rPr>
                <w:b/>
                <w:sz w:val="18"/>
              </w:rPr>
              <w:t>Implementing modules</w:t>
            </w:r>
          </w:p>
        </w:tc>
        <w:tc>
          <w:tcPr>
            <w:tcW w:type="dxa" w:w="785"/>
          </w:tcPr>
          <w:p>
            <w:r>
              <w:rPr>
                <w:b/>
                <w:sz w:val="18"/>
              </w:rPr>
              <w:t>Evidence files</w:t>
            </w:r>
          </w:p>
        </w:tc>
        <w:tc>
          <w:tcPr>
            <w:tcW w:type="dxa" w:w="785"/>
          </w:tcPr>
          <w:p>
            <w:r>
              <w:rPr>
                <w:b/>
                <w:sz w:val="18"/>
              </w:rPr>
              <w:t>Tables</w:t>
            </w:r>
          </w:p>
        </w:tc>
        <w:tc>
          <w:tcPr>
            <w:tcW w:type="dxa" w:w="785"/>
          </w:tcPr>
          <w:p>
            <w:r>
              <w:rPr>
                <w:b/>
                <w:sz w:val="18"/>
              </w:rPr>
              <w:t>Status</w:t>
            </w:r>
          </w:p>
        </w:tc>
        <w:tc>
          <w:tcPr>
            <w:tcW w:type="dxa" w:w="785"/>
          </w:tcPr>
          <w:p>
            <w:r>
              <w:rPr>
                <w:b/>
                <w:sz w:val="18"/>
              </w:rPr>
              <w:t>Outstanding</w:t>
            </w:r>
          </w:p>
        </w:tc>
        <w:tc>
          <w:tcPr>
            <w:tcW w:type="dxa" w:w="785"/>
          </w:tcPr>
          <w:p>
            <w:r>
              <w:rPr>
                <w:b/>
                <w:sz w:val="18"/>
              </w:rPr>
              <w:t>Scope and caveat</w:t>
            </w:r>
          </w:p>
        </w:tc>
      </w:tr>
      <w:tr>
        <w:tc>
          <w:tcPr>
            <w:tcW w:type="dxa" w:w="785"/>
          </w:tcPr>
          <w:p>
            <w:r>
              <w:rPr>
                <w:sz w:val="18"/>
              </w:rPr>
              <w:t>1</w:t>
            </w:r>
          </w:p>
        </w:tc>
        <w:tc>
          <w:tcPr>
            <w:tcW w:type="dxa" w:w="785"/>
          </w:tcPr>
          <w:p>
            <w:r>
              <w:rPr>
                <w:sz w:val="18"/>
              </w:rPr>
              <w:t>Normal versus abnormal classification</w:t>
            </w:r>
          </w:p>
        </w:tc>
        <w:tc>
          <w:tcPr>
            <w:tcW w:type="dxa" w:w="785"/>
          </w:tcPr>
          <w:p>
            <w:r>
              <w:rPr>
                <w:sz w:val="18"/>
              </w:rPr>
              <w:t>To introduce a new approach for the classification of normal and abnormal heart sound recordings using a machine learning algorithm. An appropriate algorithm for auto diagnosis systems of heart diseases, capable of distinguishing most known pathological states, must be developed.</w:t>
            </w:r>
          </w:p>
        </w:tc>
        <w:tc>
          <w:tcPr>
            <w:tcW w:type="dxa" w:w="785"/>
          </w:tcPr>
          <w:p>
            <w:r>
              <w:rPr>
                <w:sz w:val="18"/>
              </w:rPr>
              <w:t>PhysioNet 2016 + CirCor 2022</w:t>
            </w:r>
          </w:p>
        </w:tc>
        <w:tc>
          <w:tcPr>
            <w:tcW w:type="dxa" w:w="785"/>
          </w:tcPr>
          <w:p>
            <w:r>
              <w:rPr>
                <w:sz w:val="18"/>
              </w:rPr>
              <w:t>Binary metrics, ROC/PR curves, confusion matrix, external validation.</w:t>
            </w:r>
          </w:p>
        </w:tc>
        <w:tc>
          <w:tcPr>
            <w:tcW w:type="dxa" w:w="785"/>
          </w:tcPr>
          <w:p>
            <w:r>
              <w:rPr>
                <w:sz w:val="18"/>
              </w:rPr>
              <w:t>src/models/pipeline.py; src/models/estimators.py; src/evaluation/experiment.py; src/evaluation/transfer.py; src/inference/predictor.py</w:t>
            </w:r>
          </w:p>
        </w:tc>
        <w:tc>
          <w:tcPr>
            <w:tcW w:type="dxa" w:w="785"/>
          </w:tcPr>
          <w:p>
            <w:r>
              <w:rPr>
                <w:sz w:val="18"/>
              </w:rPr>
              <w:t>outputs/06_binary_results/T08_physionet_individual_model_comparison.csv; outputs/06_binary_results/T10_physionet_fold_wise_results.csv; outputs/06_binary_results/EXP-A2/roc_pr_curve_points.csv; outputs/06_binary_results/EXP-A2/confusion_matrices.json; outputs/08_circor_external_validation/T16_cross_dataset_generalization.csv; outputs/09_ablation/T-S5_leave_one_source_out_generalization.csv</w:t>
            </w:r>
          </w:p>
        </w:tc>
        <w:tc>
          <w:tcPr>
            <w:tcW w:type="dxa" w:w="785"/>
          </w:tcPr>
          <w:p>
            <w:r>
              <w:rPr>
                <w:sz w:val="18"/>
              </w:rPr>
              <w:t>T08, T10, T16, T-S5</w:t>
            </w:r>
          </w:p>
        </w:tc>
        <w:tc>
          <w:tcPr>
            <w:tcW w:type="dxa" w:w="785"/>
          </w:tcPr>
          <w:p>
            <w:r>
              <w:rPr>
                <w:sz w:val="18"/>
              </w:rPr>
              <w:t>evidence produced</w:t>
            </w:r>
          </w:p>
        </w:tc>
        <w:tc>
          <w:tcPr>
            <w:tcW w:type="dxa" w:w="785"/>
          </w:tcPr>
          <w:p>
            <w:r>
              <w:rPr>
                <w:sz w:val="18"/>
              </w:rPr>
              <w:t>none</w:t>
            </w:r>
          </w:p>
        </w:tc>
        <w:tc>
          <w:tcPr>
            <w:tcW w:type="dxa" w:w="785"/>
          </w:tcPr>
          <w:p>
            <w:r>
              <w:rPr>
                <w:sz w:val="18"/>
              </w:rPr>
              <w:t>Binary results are cross-validated within PhysioNet 2016. The CirCor transfer (T16) and the leave-one-sub-collection-out test (T-S5) are the evidence on external validation, and both bound the result rather than extend it. This is a screening and decision-support prototype. The blueprint's phrase “auto diagnosis systems” is its wording, not a claim made by this implementation: nothing here diagnoses, and every result is reported as a screening signal.</w:t>
            </w:r>
          </w:p>
        </w:tc>
      </w:tr>
      <w:tr>
        <w:tc>
          <w:tcPr>
            <w:tcW w:type="dxa" w:w="785"/>
          </w:tcPr>
          <w:p>
            <w:r>
              <w:rPr>
                <w:sz w:val="18"/>
              </w:rPr>
              <w:t>2</w:t>
            </w:r>
          </w:p>
        </w:tc>
        <w:tc>
          <w:tcPr>
            <w:tcW w:type="dxa" w:w="785"/>
          </w:tcPr>
          <w:p>
            <w:r>
              <w:rPr>
                <w:sz w:val="18"/>
              </w:rPr>
              <w:t>State-of-the-art review</w:t>
            </w:r>
          </w:p>
        </w:tc>
        <w:tc>
          <w:tcPr>
            <w:tcW w:type="dxa" w:w="785"/>
          </w:tcPr>
          <w:p>
            <w:r>
              <w:rPr>
                <w:sz w:val="18"/>
              </w:rPr>
              <w:t>To review recently published preprocessing, feature extraction, and classification techniques, as well as the state-of-the-art in phonocardiogram (PCG) signal analysis.</w:t>
            </w:r>
          </w:p>
        </w:tc>
        <w:tc>
          <w:tcPr>
            <w:tcW w:type="dxa" w:w="785"/>
          </w:tcPr>
          <w:p>
            <w:r>
              <w:rPr>
                <w:sz w:val="18"/>
              </w:rPr>
              <w:t>All three dataset families</w:t>
            </w:r>
          </w:p>
        </w:tc>
        <w:tc>
          <w:tcPr>
            <w:tcW w:type="dxa" w:w="785"/>
          </w:tcPr>
          <w:p>
            <w:r>
              <w:rPr>
                <w:sz w:val="18"/>
              </w:rPr>
              <w:t>Literature review table, preprocessing ablation and feature-family ablation.</w:t>
            </w:r>
          </w:p>
        </w:tc>
        <w:tc>
          <w:tcPr>
            <w:tcW w:type="dxa" w:w="785"/>
          </w:tcPr>
          <w:p>
            <w:r>
              <w:rPr>
                <w:sz w:val="18"/>
              </w:rPr>
              <w:t>src/preprocessing/ablation.py; src/preprocessing/ablation_run.py; src/evaluation/feature_ablation.py; src/reporting/ablation_report.py; src/reporting/literature.py</w:t>
            </w:r>
          </w:p>
        </w:tc>
        <w:tc>
          <w:tcPr>
            <w:tcW w:type="dxa" w:w="785"/>
          </w:tcPr>
          <w:p>
            <w:r>
              <w:rPr>
                <w:sz w:val="18"/>
              </w:rPr>
              <w:t>outputs/02_preprocessing/preprocessing_ablation.csv; outputs/09_ablation/T17_feature_family_ablation.csv; outputs/09_ablation/T18_all_features_versus_selected_features.csv; outputs/16_literature_review/LIT-01_literature_review_and_state_of_the_art.csv</w:t>
            </w:r>
          </w:p>
        </w:tc>
        <w:tc>
          <w:tcPr>
            <w:tcW w:type="dxa" w:w="785"/>
          </w:tcPr>
          <w:p>
            <w:r>
              <w:rPr>
                <w:sz w:val="18"/>
              </w:rPr>
              <w:t>PP-09, T17, T18, LIT-01, LIT-02</w:t>
            </w:r>
          </w:p>
        </w:tc>
        <w:tc>
          <w:tcPr>
            <w:tcW w:type="dxa" w:w="785"/>
          </w:tcPr>
          <w:p>
            <w:r>
              <w:rPr>
                <w:sz w:val="18"/>
              </w:rPr>
              <w:t>evidence produced</w:t>
            </w:r>
          </w:p>
        </w:tc>
        <w:tc>
          <w:tcPr>
            <w:tcW w:type="dxa" w:w="785"/>
          </w:tcPr>
          <w:p>
            <w:r>
              <w:rPr>
                <w:sz w:val="18"/>
              </w:rPr>
              <w:t>none</w:t>
            </w:r>
          </w:p>
        </w:tc>
        <w:tc>
          <w:tcPr>
            <w:tcW w:type="dxa" w:w="785"/>
          </w:tcPr>
          <w:p>
            <w:r>
              <w:rPr>
                <w:sz w:val="18"/>
              </w:rPr>
              <w:t>Both ablations ran on PhysioNet 2016, the corpus the model is built on; comparison across noise, duration and population conditions is carried by T20-T22 under objective 4.</w:t>
            </w:r>
          </w:p>
        </w:tc>
      </w:tr>
      <w:tr>
        <w:tc>
          <w:tcPr>
            <w:tcW w:type="dxa" w:w="785"/>
          </w:tcPr>
          <w:p>
            <w:r>
              <w:rPr>
                <w:sz w:val="18"/>
              </w:rPr>
              <w:t>3</w:t>
            </w:r>
          </w:p>
        </w:tc>
        <w:tc>
          <w:tcPr>
            <w:tcW w:type="dxa" w:w="785"/>
          </w:tcPr>
          <w:p>
            <w:r>
              <w:rPr>
                <w:sz w:val="18"/>
              </w:rPr>
              <w:t>Heterogeneous ensemble</w:t>
            </w:r>
          </w:p>
        </w:tc>
        <w:tc>
          <w:tcPr>
            <w:tcW w:type="dxa" w:w="785"/>
          </w:tcPr>
          <w:p>
            <w:r>
              <w:rPr>
                <w:sz w:val="18"/>
              </w:rPr>
              <w:t>To utilise ensemble machine learning algorithms that combine the predictions of several learning models into a single “ensemble” model to improve overall performance.</w:t>
            </w:r>
          </w:p>
        </w:tc>
        <w:tc>
          <w:tcPr>
            <w:tcW w:type="dxa" w:w="785"/>
          </w:tcPr>
          <w:p>
            <w:r>
              <w:rPr>
                <w:sz w:val="18"/>
              </w:rPr>
              <w:t>PhysioNet 2016 + CirCor 2022</w:t>
            </w:r>
          </w:p>
        </w:tc>
        <w:tc>
          <w:tcPr>
            <w:tcW w:type="dxa" w:w="785"/>
          </w:tcPr>
          <w:p>
            <w:r>
              <w:rPr>
                <w:sz w:val="18"/>
              </w:rPr>
              <w:t>Individual-vs-ensemble comparison, calibration and cross-dataset generalization.</w:t>
            </w:r>
          </w:p>
        </w:tc>
        <w:tc>
          <w:tcPr>
            <w:tcW w:type="dxa" w:w="785"/>
          </w:tcPr>
          <w:p>
            <w:r>
              <w:rPr>
                <w:sz w:val="18"/>
              </w:rPr>
              <w:t>src/ensemble/soft_voting.py; src/optimization/weights.py; src/models/calibration.py; src/evaluation/calibration_analysis.py; src/evaluation/statistics.py</w:t>
            </w:r>
          </w:p>
        </w:tc>
        <w:tc>
          <w:tcPr>
            <w:tcW w:type="dxa" w:w="785"/>
          </w:tcPr>
          <w:p>
            <w:r>
              <w:rPr>
                <w:sz w:val="18"/>
              </w:rPr>
              <w:t>outputs/06_binary_results/T08_physionet_individual_model_comparison.csv; outputs/06_binary_results/T09_equal_weight_versus_optimized_ensemble.csv; outputs/09_ablation/T19_search_and_optimization_ablation.csv; outputs/10_robustness/T23_calibration_and_confidence_summary.csv; outputs/12_statistics/T28_statistical_significance_comparison.csv; outputs/08_circor_external_validation/T16_cross_dataset_generalization.csv</w:t>
            </w:r>
          </w:p>
        </w:tc>
        <w:tc>
          <w:tcPr>
            <w:tcW w:type="dxa" w:w="785"/>
          </w:tcPr>
          <w:p>
            <w:r>
              <w:rPr>
                <w:sz w:val="18"/>
              </w:rPr>
              <w:t>T08, T09, T19, T23, T28, T16</w:t>
            </w:r>
          </w:p>
        </w:tc>
        <w:tc>
          <w:tcPr>
            <w:tcW w:type="dxa" w:w="785"/>
          </w:tcPr>
          <w:p>
            <w:r>
              <w:rPr>
                <w:sz w:val="18"/>
              </w:rPr>
              <w:t>evidence produced</w:t>
            </w:r>
          </w:p>
        </w:tc>
        <w:tc>
          <w:tcPr>
            <w:tcW w:type="dxa" w:w="785"/>
          </w:tcPr>
          <w:p>
            <w:r>
              <w:rPr>
                <w:sz w:val="18"/>
              </w:rPr>
              <w:t>none</w:t>
            </w:r>
          </w:p>
        </w:tc>
        <w:tc>
          <w:tcPr>
            <w:tcW w:type="dxa" w:w="785"/>
          </w:tcPr>
          <w:p>
            <w:r>
              <w:rPr>
                <w:sz w:val="18"/>
              </w:rPr>
              <w:t>The ensemble's members are the SVM, Random Forest and Gradient Boosting models (T06). The CirCor tracks (T13, T14) evaluate the ensemble on a second corpus under its own cross-validation.</w:t>
            </w:r>
          </w:p>
        </w:tc>
      </w:tr>
      <w:tr>
        <w:tc>
          <w:tcPr>
            <w:tcW w:type="dxa" w:w="785"/>
          </w:tcPr>
          <w:p>
            <w:r>
              <w:rPr>
                <w:sz w:val="18"/>
              </w:rPr>
              <w:t>4</w:t>
            </w:r>
          </w:p>
        </w:tc>
        <w:tc>
          <w:tcPr>
            <w:tcW w:type="dxa" w:w="785"/>
          </w:tcPr>
          <w:p>
            <w:r>
              <w:rPr>
                <w:sz w:val="18"/>
              </w:rPr>
              <w:t>Short, noisy, single recordings</w:t>
            </w:r>
          </w:p>
        </w:tc>
        <w:tc>
          <w:tcPr>
            <w:tcW w:type="dxa" w:w="785"/>
          </w:tcPr>
          <w:p>
            <w:r>
              <w:rPr>
                <w:sz w:val="18"/>
              </w:rPr>
              <w:t>To understand heart sound classification techniques that might find use in medical diagnostic systems; the objective is to accurately classify normal and abnormal heart sounds from single, short, and potentially noisy recordings.</w:t>
            </w:r>
          </w:p>
        </w:tc>
        <w:tc>
          <w:tcPr>
            <w:tcW w:type="dxa" w:w="785"/>
          </w:tcPr>
          <w:p>
            <w:r>
              <w:rPr>
                <w:sz w:val="18"/>
              </w:rPr>
              <w:t>PhysioNet 2016 + PASCAL + CirCor</w:t>
            </w:r>
          </w:p>
        </w:tc>
        <w:tc>
          <w:tcPr>
            <w:tcW w:type="dxa" w:w="785"/>
          </w:tcPr>
          <w:p>
            <w:r>
              <w:rPr>
                <w:sz w:val="18"/>
              </w:rPr>
              <w:t>Duration-wise, noise-wise and dataset-wise robustness tables.</w:t>
            </w:r>
          </w:p>
        </w:tc>
        <w:tc>
          <w:tcPr>
            <w:tcW w:type="dxa" w:w="785"/>
          </w:tcPr>
          <w:p>
            <w:r>
              <w:rPr>
                <w:sz w:val="18"/>
              </w:rPr>
              <w:t>src/evaluation/robustness.py; src/evaluation/duration.py; src/evaluation/location.py; src/evaluation/failure_analysis.py; src/preprocessing/quality.py</w:t>
            </w:r>
          </w:p>
        </w:tc>
        <w:tc>
          <w:tcPr>
            <w:tcW w:type="dxa" w:w="785"/>
          </w:tcPr>
          <w:p>
            <w:r>
              <w:rPr>
                <w:sz w:val="18"/>
              </w:rPr>
              <w:t>outputs/09_robustness_analysis/T20_noise_robustness.csv; outputs/09_robustness_analysis/T21_duration_robustness.csv; outputs/08_circor_external_validation/T22_auscultation_location_analysis.csv; outputs/10_robustness/T27_false_positive_and_false_negative_analysis.csv</w:t>
            </w:r>
          </w:p>
        </w:tc>
        <w:tc>
          <w:tcPr>
            <w:tcW w:type="dxa" w:w="785"/>
          </w:tcPr>
          <w:p>
            <w:r>
              <w:rPr>
                <w:sz w:val="18"/>
              </w:rPr>
              <w:t>T20, T21, T22, T27</w:t>
            </w:r>
          </w:p>
        </w:tc>
        <w:tc>
          <w:tcPr>
            <w:tcW w:type="dxa" w:w="785"/>
          </w:tcPr>
          <w:p>
            <w:r>
              <w:rPr>
                <w:sz w:val="18"/>
              </w:rPr>
              <w:t>evidence produced</w:t>
            </w:r>
          </w:p>
        </w:tc>
        <w:tc>
          <w:tcPr>
            <w:tcW w:type="dxa" w:w="785"/>
          </w:tcPr>
          <w:p>
            <w:r>
              <w:rPr>
                <w:sz w:val="18"/>
              </w:rPr>
              <w:t>none</w:t>
            </w:r>
          </w:p>
        </w:tc>
        <w:tc>
          <w:tcPr>
            <w:tcW w:type="dxa" w:w="785"/>
          </w:tcPr>
          <w:p>
            <w:r>
              <w:rPr>
                <w:sz w:val="18"/>
              </w:rPr>
              <w:t>Noise and duration groups are observational; the AWGN sweep and the truncation study are their interventional counterparts on a PhysioNet subset.</w:t>
            </w:r>
          </w:p>
        </w:tc>
      </w:tr>
      <w:tr>
        <w:tc>
          <w:tcPr>
            <w:tcW w:type="dxa" w:w="785"/>
          </w:tcPr>
          <w:p>
            <w:r>
              <w:rPr>
                <w:sz w:val="18"/>
              </w:rPr>
              <w:t>5</w:t>
            </w:r>
          </w:p>
        </w:tc>
        <w:tc>
          <w:tcPr>
            <w:tcW w:type="dxa" w:w="785"/>
          </w:tcPr>
          <w:p>
            <w:r>
              <w:rPr>
                <w:sz w:val="18"/>
              </w:rPr>
              <w:t>Search-driven optimization</w:t>
            </w:r>
          </w:p>
        </w:tc>
        <w:tc>
          <w:tcPr>
            <w:tcW w:type="dxa" w:w="785"/>
          </w:tcPr>
          <w:p>
            <w:r>
              <w:rPr>
                <w:sz w:val="18"/>
              </w:rPr>
              <w:t>Apply a search algorithm to improve the performance of the diagnostic system in terms of accuracy, complexity, and the range of distinguishable heart sounds.</w:t>
            </w:r>
          </w:p>
        </w:tc>
        <w:tc>
          <w:tcPr>
            <w:tcW w:type="dxa" w:w="785"/>
          </w:tcPr>
          <w:p>
            <w:r>
              <w:rPr>
                <w:sz w:val="18"/>
              </w:rPr>
              <w:t>PhysioNet 2016 for search; PASCAL/CirCor for confirmation</w:t>
            </w:r>
          </w:p>
        </w:tc>
        <w:tc>
          <w:tcPr>
            <w:tcW w:type="dxa" w:w="785"/>
          </w:tcPr>
          <w:p>
            <w:r>
              <w:rPr>
                <w:sz w:val="18"/>
              </w:rPr>
              <w:t>Baseline-vs-optimized results, selected features, inference time and complexity trade-off.</w:t>
            </w:r>
          </w:p>
        </w:tc>
        <w:tc>
          <w:tcPr>
            <w:tcW w:type="dxa" w:w="785"/>
          </w:tcPr>
          <w:p>
            <w:r>
              <w:rPr>
                <w:sz w:val="18"/>
              </w:rPr>
              <w:t>src/optimization/driver.py; src/optimization/bayesian.py; src/optimization/randomized.py; src/feature_selection/ranking.py; src/evaluation/tuned.py; src/evaluation/complexity.py</w:t>
            </w:r>
          </w:p>
        </w:tc>
        <w:tc>
          <w:tcPr>
            <w:tcW w:type="dxa" w:w="785"/>
          </w:tcPr>
          <w:p>
            <w:r>
              <w:rPr>
                <w:sz w:val="18"/>
              </w:rPr>
              <w:t>outputs/09_ablation/T19_search_and_optimization_ablation.csv; outputs/05_search_optimization/T07_search_space_and_best_parameters.csv; outputs/03_features/selected_feature_subset.csv; outputs/09_ablation/T18_all_features_versus_selected_features.csv; outputs/11_complexity/T24_complexity_analysis.csv; outputs/11_complexity/T25_training_and_inference_time.csv; outputs/11_complexity/T26_model_size_and_memory.csv</w:t>
            </w:r>
          </w:p>
        </w:tc>
        <w:tc>
          <w:tcPr>
            <w:tcW w:type="dxa" w:w="785"/>
          </w:tcPr>
          <w:p>
            <w:r>
              <w:rPr>
                <w:sz w:val="18"/>
              </w:rPr>
              <w:t>T07, T18, T19, T24, T25, T26</w:t>
            </w:r>
          </w:p>
        </w:tc>
        <w:tc>
          <w:tcPr>
            <w:tcW w:type="dxa" w:w="785"/>
          </w:tcPr>
          <w:p>
            <w:r>
              <w:rPr>
                <w:sz w:val="18"/>
              </w:rPr>
              <w:t>evidence produced</w:t>
            </w:r>
          </w:p>
        </w:tc>
        <w:tc>
          <w:tcPr>
            <w:tcW w:type="dxa" w:w="785"/>
          </w:tcPr>
          <w:p>
            <w:r>
              <w:rPr>
                <w:sz w:val="18"/>
              </w:rPr>
              <w:t>none</w:t>
            </w:r>
          </w:p>
        </w:tc>
        <w:tc>
          <w:tcPr>
            <w:tcW w:type="dxa" w:w="785"/>
          </w:tcPr>
          <w:p>
            <w:r>
              <w:rPr>
                <w:sz w:val="18"/>
              </w:rPr>
              <w:t>The search ran nested inside every PhysioNet outer fold and was repeated per fold on the PASCAL and CirCor tracks, all of which are tuned runs (T11-T14).</w:t>
            </w:r>
          </w:p>
        </w:tc>
      </w:tr>
      <w:tr>
        <w:tc>
          <w:tcPr>
            <w:tcW w:type="dxa" w:w="785"/>
          </w:tcPr>
          <w:p>
            <w:r>
              <w:rPr>
                <w:sz w:val="18"/>
              </w:rPr>
              <w:t>6</w:t>
            </w:r>
          </w:p>
        </w:tc>
        <w:tc>
          <w:tcPr>
            <w:tcW w:type="dxa" w:w="785"/>
          </w:tcPr>
          <w:p>
            <w:r>
              <w:rPr>
                <w:sz w:val="18"/>
              </w:rPr>
              <w:t>More classes, more samples</w:t>
            </w:r>
          </w:p>
        </w:tc>
        <w:tc>
          <w:tcPr>
            <w:tcW w:type="dxa" w:w="785"/>
          </w:tcPr>
          <w:p>
            <w:r>
              <w:rPr>
                <w:sz w:val="18"/>
              </w:rPr>
              <w:t>To introduce a greater number of classes (types of heart sounds) to test the final system further, making it capable of handling more tests on a larger number of samples.</w:t>
            </w:r>
          </w:p>
        </w:tc>
        <w:tc>
          <w:tcPr>
            <w:tcW w:type="dxa" w:w="785"/>
          </w:tcPr>
          <w:p>
            <w:r>
              <w:rPr>
                <w:sz w:val="18"/>
              </w:rPr>
              <w:t>PASCAL A/B + CirCor</w:t>
            </w:r>
          </w:p>
        </w:tc>
        <w:tc>
          <w:tcPr>
            <w:tcW w:type="dxa" w:w="785"/>
          </w:tcPr>
          <w:p>
            <w:r>
              <w:rPr>
                <w:sz w:val="18"/>
              </w:rPr>
              <w:t>Multiclass confusion matrices, macro-F1, per-class recall and large-sample validation.</w:t>
            </w:r>
          </w:p>
        </w:tc>
        <w:tc>
          <w:tcPr>
            <w:tcW w:type="dxa" w:w="785"/>
          </w:tcPr>
          <w:p>
            <w:r>
              <w:rPr>
                <w:sz w:val="18"/>
              </w:rPr>
              <w:t>src/models/pipeline.py; src/evaluation/metrics.py; src/evaluation/aggregation.py; src/data_loader/pascal.py; src/data_loader/circor.py</w:t>
            </w:r>
          </w:p>
        </w:tc>
        <w:tc>
          <w:tcPr>
            <w:tcW w:type="dxa" w:w="785"/>
          </w:tcPr>
          <w:p>
            <w:r>
              <w:rPr>
                <w:sz w:val="18"/>
              </w:rPr>
              <w:t>outputs/07_multiclass_results/T11_pascal_a_multiclass_results.csv; outputs/07_multiclass_results/T12_pascal_b_multiclass_results.csv; outputs/07_multiclass_results/EXP-B1/confusion_matrices.json; outputs/07_multiclass_results/EXP-B2/confusion_matrices.json; outputs/08_circor_external_validation/T13_circor_murmur_classification_results.csv; outputs/08_circor_external_validation/T14_circor_clinical_outcome_results.csv; outputs/08_circor_external_validation/T15_recording_level_versus_subject_level_results.csv</w:t>
            </w:r>
          </w:p>
        </w:tc>
        <w:tc>
          <w:tcPr>
            <w:tcW w:type="dxa" w:w="785"/>
          </w:tcPr>
          <w:p>
            <w:r>
              <w:rPr>
                <w:sz w:val="18"/>
              </w:rPr>
              <w:t>T11, T12, T13, T14, T15</w:t>
            </w:r>
          </w:p>
        </w:tc>
        <w:tc>
          <w:tcPr>
            <w:tcW w:type="dxa" w:w="785"/>
          </w:tcPr>
          <w:p>
            <w:r>
              <w:rPr>
                <w:sz w:val="18"/>
              </w:rPr>
              <w:t>evidence produced</w:t>
            </w:r>
          </w:p>
        </w:tc>
        <w:tc>
          <w:tcPr>
            <w:tcW w:type="dxa" w:w="785"/>
          </w:tcPr>
          <w:p>
            <w:r>
              <w:rPr>
                <w:sz w:val="18"/>
              </w:rPr>
              <w:t>none</w:t>
            </w:r>
          </w:p>
        </w:tc>
        <w:tc>
          <w:tcPr>
            <w:tcW w:type="dxa" w:w="785"/>
          </w:tcPr>
          <w:p>
            <w:r>
              <w:rPr>
                <w:sz w:val="18"/>
              </w:rPr>
              <w:t>The PhysioNet diagnosis track (EXP-G1, T-S1 to T-S4) was intended to carry this objective at scale; held within one recording source it does not (T30). PASCAL A has 124 records with 19 in one class, which is too few to carry this objective alone. The PhysioNet diagnosis track (3,240 records) is what answers it at scale. PASCAL's “artifact” label is a recording-quality category, not a cardiac class, so the four-class model is never described as a four-class cardiac classifier.</w:t>
            </w:r>
          </w:p>
        </w:tc>
      </w:tr>
    </w:tbl>
    <w:p>
      <w:r>
        <w:rPr>
          <w:i/>
          <w:sz w:val="16"/>
        </w:rPr>
        <w:t>The objective wording is locked by the blueprint and is quoted exactly; src/reporting/objectives.py holds it with a sha256 per objective, so a paraphrase is detectable.</w:t>
      </w:r>
    </w:p>
    <w:p>
      <w:r>
        <w:rPr>
          <w:i/>
          <w:sz w:val="16"/>
        </w:rPr>
        <w:t>'partial' means evidence the blueprint requires has not been produced yet; 'Outstanding' names it and the phase that produces it. The status is re-derived from the files on every build.</w:t>
      </w:r>
    </w:p>
    <w:p>
      <w:r>
        <w:rPr>
          <w:i/>
          <w:sz w:val="16"/>
        </w:rPr>
        <w:t>PV-MEPCG / PulseVision is an academic screening and decision-support prototype, not a diagnostic tool.</w:t>
      </w:r>
    </w:p>
    <w:p>
      <w:r>
        <w:rPr>
          <w:i/>
          <w:sz w:val="14"/>
        </w:rPr>
        <w:t>Table T29 -- Objective-to-Evidence Mapping</w:t>
      </w:r>
    </w:p>
    <w:p>
      <w:r>
        <w:rPr>
          <w:i/>
          <w:sz w:val="14"/>
        </w:rPr>
        <w:t>Experiment: all experiments (objective mapping)</w:t>
      </w:r>
    </w:p>
    <w:p>
      <w:r>
        <w:rPr>
          <w:i/>
          <w:sz w:val="14"/>
        </w:rPr>
        <w:t>Objective: O1-O6</w:t>
      </w:r>
    </w:p>
    <w:p>
      <w:r>
        <w:rPr>
          <w:i/>
          <w:sz w:val="14"/>
        </w:rPr>
        <w:t>Source: outputs/06_binary_results/T08_physionet_individual_model_comparison.csv; outputs/06_binary_results/T10_physionet_fold_wise_results.csv; outputs/06_binary_results/EXP-A2/roc_pr_curve_points.csv; outputs/06_binary_results/EXP-A2/confusion_matrices.json; outputs/08_circor_external_validation/T16_cross_dataset_generalization.csv; outputs/09_ablation/T-S5_leave_one_source_out_generalization.csv; outputs/02_preprocessing/preprocessing_ablation.csv; outputs/09_ablation/T17_feature_family_ablation.csv; outputs/09_ablation/T18_all_features_versus_selected_features.csv; outputs/16_literature_review/LIT-01_literature_review_and_state_of_the_art.csv; outputs/06_binary_results/T09_equal_weight_versus_optimized_ensemble.csv; outputs/09_ablation/T19_search_and_optimization_ablation.csv; outputs/10_robustness/T23_calibration_and_confidence_summary.csv; outputs/12_statistics/T28_statistical_significance_comparison.csv; outputs/09_robustness_analysis/T20_noise_robustness.csv; outputs/09_robustness_analysis/T21_duration_robustness.csv; outputs/08_circor_external_validation/T22_auscultation_location_analysis.csv; outputs/10_robustness/T27_false_positive_and_false_negative_analysis.csv; outputs/05_search_optimization/T07_search_space_and_best_parameters.csv; outputs/03_features/selected_feature_subset.csv; outputs/11_complexity/T24_complexity_analysis.csv; outputs/11_complexity/T25_training_and_inference_time.csv; outputs/11_complexity/T26_model_size_and_memory.csv; outputs/07_multiclass_results/T11_pascal_a_multiclass_results.csv; outputs/07_multiclass_results/T12_pascal_b_multiclass_results.csv; outputs/07_multiclass_results/EXP-B1/confusion_matrices.json; outputs/07_multiclass_results/EXP-B2/confusion_matrices.json; outputs/08_circor_external_validation/T13_circor_murmur_classification_results.csv; outputs/08_circor_external_validation/T14_circor_clinical_outcome_results.csv; outputs/08_circor_external_validation/T15_recording_level_versus_subject_level_results.csv</w:t>
      </w:r>
    </w:p>
    <w:p>
      <w:r>
        <w:rPr>
          <w:i/>
          <w:sz w:val="14"/>
        </w:rPr>
        <w:t>Generated by PV-MEPCG / PulseVision at 2026-09-11T13:18:03.537664+00:00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