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T13. CirCor Murmur Classification Results</w:t>
      </w:r>
    </w:p>
    <w:p>
      <w:r>
        <w:rPr>
          <w:sz w:val="18"/>
        </w:rPr>
        <w:t>CirCor DigiScope 2022 murmur classification, patient-grouped 5-fold cross-validation with a nested per-fold search, scored at recording level and at patient level under each aggregation rule. Mean over the 5 folds with the SD of balanced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Units / fold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Absent recall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Present recall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Unknown recall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Accuracy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0.982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0.545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0.823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0.352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0.729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0.987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0.774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0.792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0.710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0.790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0.918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0.769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0.377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0.763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0.452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0.375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0.781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0.795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0.404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0.776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0.984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0.275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0.778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0.783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0.693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0.676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0.785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0.888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0.539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601.4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0.838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601.4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601.4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601.4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601.4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0.855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0.855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0.828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0.957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0.669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0.669</w:t>
            </w:r>
          </w:p>
        </w:tc>
      </w:tr>
    </w:tbl>
    <w:p>
      <w:r>
        <w:rPr>
          <w:i/>
          <w:sz w:val="16"/>
        </w:rPr>
        <w:t>The three-class variant (Absent / Present / Unknown) is the headline, matching the 2022 Challenge. The two-class variant excludes the patients whose murmur is Unknown and is reported alongside, never instead.</w:t>
      </w:r>
    </w:p>
    <w:p>
      <w:r>
        <w:rPr>
          <w:i/>
          <w:sz w:val="16"/>
        </w:rPr>
        <w:t>Models: M3, M4, M5, M6, M7. The shipped binary model M1 is not among them: the CirCor tracks carry their own model set.</w:t>
      </w:r>
    </w:p>
    <w:p>
      <w:r>
        <w:rPr>
          <w:i/>
          <w:sz w:val="16"/>
        </w:rPr>
        <w:t>Per-class recall columns apply to the three-class variant; sensitivity and specificity (murmur Present as positive) apply to the two-class variant. 'n/a' marks a metric the variant does not define.</w:t>
      </w:r>
    </w:p>
    <w:p>
      <w:r>
        <w:rPr>
          <w:i/>
          <w:sz w:val="16"/>
        </w:rPr>
        <w:t>ROC-AUC was computed at recording level only; the patient-level rows carry none, and 'n/a' there is an absent measurement, not a zero.</w:t>
      </w:r>
    </w:p>
    <w:p>
      <w:r>
        <w:rPr>
          <w:i/>
          <w:sz w:val="16"/>
        </w:rPr>
        <w:t>CirCor labels a PATIENT and the model scores a RECORDING, so every recording inherits its patient's label, including recordings from locations where the finding is not audible. Recording-level figures are pessimistic by an unmeasured amount; see circor_label_propagation.md.</w:t>
      </w:r>
    </w:p>
    <w:p>
      <w:r>
        <w:rPr>
          <w:i/>
          <w:sz w:val="16"/>
        </w:rPr>
        <w:t>Patient-level rows aggregate a patient's recordings under three rules (max, mean, any_present). Aggregation moves the operating point; no rule is declared the winner, because that is a clinical judgement.</w:t>
      </w:r>
    </w:p>
    <w:p>
      <w:r>
        <w:rPr>
          <w:i/>
          <w:sz w:val="16"/>
        </w:rPr>
        <w:t>CirCor is a predominantly paediatric cohort; nothing here transfers a PhysioNet result to it (that is EXP-D1, T16).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T13 -- CirCor Murmur Classification Results</w:t>
      </w:r>
    </w:p>
    <w:p>
      <w:r>
        <w:rPr>
          <w:i/>
          <w:sz w:val="14"/>
        </w:rPr>
        <w:t>Experiment: EXP-C1</w:t>
      </w:r>
    </w:p>
    <w:p>
      <w:r>
        <w:rPr>
          <w:i/>
          <w:sz w:val="14"/>
        </w:rPr>
        <w:t>Objective: O6 (large-sample validation), O1 (external corpus)</w:t>
      </w:r>
    </w:p>
    <w:p>
      <w:r>
        <w:rPr>
          <w:i/>
          <w:sz w:val="14"/>
        </w:rPr>
        <w:t>Source: outputs/08_circor_external_validation/T13_circor_murmur_results.csv; outputs/08_circor_external_validation/EXP-C1-three_class/per_fold_by_level.csv; outputs/08_circor_external_validation/EXP-C1-two_class/per_fold_by_level.csv</w:t>
      </w:r>
    </w:p>
    <w:p>
      <w:r>
        <w:rPr>
          <w:i/>
          <w:sz w:val="14"/>
        </w:rPr>
        <w:t>Generated by PV-MEPCG / PulseVision at 2026-09-10T16:53:57.044529+00:00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