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T23. Calibration and Confidence Summary</w:t>
      </w:r>
    </w:p>
    <w:p>
      <w:r>
        <w:rPr>
          <w:sz w:val="18"/>
        </w:rPr>
        <w:t>Brier score and expected calibration error for every model on every task, computed inside each fold from the stored out-of-fold probabilities and averaged over folds. ECE is measured over the confidence of the predicted class in equal-width bins, the same definition src/evaluation/metrics.py uses, so it is defined identically for the binary and the multiclass tracks. 'Confidence - accuracy' is signed: positive means the model claims more certainty than its own hit rate justifies.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ECE bins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Scored rows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Brier mean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Brier SD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ECE mean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ECE SD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Confidence mean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Argmax accuracy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Confidence - accuracy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Gap SD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0.900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0.904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0.952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16,200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0.088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0.186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0.465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-0.128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0.131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-0.117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620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0.101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0.308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0.117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461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0.336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-0.142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0.327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-0.055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0.363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0.101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0.076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0.609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-0.034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0.033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EXP-D1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3,163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0.714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0.830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0.531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0.299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n/a</w:t>
            </w:r>
          </w:p>
        </w:tc>
      </w:tr>
    </w:tbl>
    <w:p>
      <w:r>
        <w:rPr>
          <w:i/>
          <w:sz w:val="16"/>
        </w:rPr>
        <w:t>ECE IS NOT BIN-COUNT INVARIANT. The reported value uses the bin count in the 'ECE bins' column; calibration_bin_sensitivity.csv carries the same predictions re-binned at 5, 10, 15 and 20 bins. An ECE quoted without its bin count is half a number.</w:t>
      </w:r>
    </w:p>
    <w:p>
      <w:r>
        <w:rPr>
          <w:i/>
          <w:sz w:val="16"/>
        </w:rPr>
        <w:t>BRIER IS NOT COMPARABLE ACROSS LABEL SPACES. The multiclass form sums squared error over all classes, so its range is 0-2 where the binary form's is 0-1. Compare models within a run, never a PASCAL A Brier against a PhysioNet one.</w:t>
      </w:r>
    </w:p>
    <w:p>
      <w:r>
        <w:rPr>
          <w:i/>
          <w:sz w:val="16"/>
        </w:rPr>
        <w:t>Reliability is measured against the ARGMAX of each model's own probability vector, not against its stored y_pred. M6 and M7 decide by an in-fold selected threshold rather than by argmax, so the two legitimately differ; 'Argmax accuracy' is therefore not the accuracy those two models' tables report.</w:t>
      </w:r>
    </w:p>
    <w:p>
      <w:r>
        <w:rPr>
          <w:i/>
          <w:sz w:val="16"/>
        </w:rPr>
        <w:t>EXP-D1 is ONE external evaluation, not cross-validation: n_folds=1 and every SD is undefined. It is adult-to-paediatric transfer and the population mismatch dominates it.</w:t>
      </w:r>
    </w:p>
    <w:p>
      <w:r>
        <w:rPr>
          <w:i/>
          <w:sz w:val="16"/>
        </w:rPr>
        <w:t>T78.4 -- the SVM's calibrator, compared on the IDENTICAL 25-fold map with everything else held fixed (n=25): isotonic brier 0.1877 / ECE 0.0566; sigmoid brier 0.1831 / ECE 0.0573. Lower is better for both. Fold wins on Brier: isotonic 6, sigmoid 19, tied 0. The configured method is sigmoid. THE FINAL BINARY MODEL IS M1, a logistic regression that contains no SVM and no post-hoc calibrator, so this comparison is evidence about the M6/M7 ensemble members and not about the deployed estimator.</w:t>
      </w:r>
    </w:p>
    <w:p>
      <w:r>
        <w:rPr>
          <w:i/>
          <w:sz w:val="16"/>
        </w:rPr>
        <w:t>PV-MEPCG / PulseVision is an academic screening and decision-support prototype, not a diagnostic tool. A calibrated probability is not a clinical risk.</w:t>
      </w:r>
    </w:p>
    <w:p>
      <w:r>
        <w:rPr>
          <w:i/>
          <w:sz w:val="14"/>
        </w:rPr>
        <w:t>Table T23 -- Calibration and Confidence Summary</w:t>
      </w:r>
    </w:p>
    <w:p>
      <w:r>
        <w:rPr>
          <w:i/>
          <w:sz w:val="14"/>
        </w:rPr>
        <w:t>Experiment: EXP-A1, EXP-A2, EXP-B1, EXP-B2, EXP-C1, EXP-C2, EXP-D1</w:t>
      </w:r>
    </w:p>
    <w:p>
      <w:r>
        <w:rPr>
          <w:i/>
          <w:sz w:val="14"/>
        </w:rPr>
        <w:t>Objective: O3 (model comparison), O4 (reliability)</w:t>
      </w:r>
    </w:p>
    <w:p>
      <w:r>
        <w:rPr>
          <w:i/>
          <w:sz w:val="14"/>
        </w:rPr>
        <w:t>Source: D:/Projects/HeartGuard/outputs/10_robustness/calibration/calibration_summary.csv; D:/Projects/HeartGuard/outputs/10_robustness/calibration/calibration_per_fold.csv; D:/Projects/HeartGuard/outputs/10_robustness/calibration/reliability_points.csv; D:/Projects/HeartGuard/outputs/10_robustness/calibration/confidence_histogram.csv; D:/Projects/HeartGuard/outputs/10_robustness/calibration/svm_calibration_method_comparison.csv</w:t>
      </w:r>
    </w:p>
    <w:p>
      <w:r>
        <w:rPr>
          <w:i/>
          <w:sz w:val="14"/>
        </w:rPr>
        <w:t>Generated by PV-MEPCG / PulseVision at 2026-09-10T11:10:13.288313+00:00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