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F23" w:rsidRDefault="00440688">
      <w:pPr>
        <w:spacing w:after="60"/>
      </w:pPr>
      <w:r>
        <w:rPr>
          <w:b/>
          <w:bCs/>
          <w:color w:val="1E2761"/>
          <w:sz w:val="52"/>
          <w:szCs w:val="52"/>
        </w:rPr>
        <w:t>Customer Data Analysis</w:t>
      </w:r>
    </w:p>
    <w:p w:rsidR="00771F23" w:rsidRDefault="00440688">
      <w:pPr>
        <w:spacing w:after="40"/>
      </w:pPr>
      <w:r>
        <w:rPr>
          <w:color w:val="1C7293"/>
          <w:sz w:val="30"/>
          <w:szCs w:val="30"/>
        </w:rPr>
        <w:t>Insights &amp; Recommendations Report</w:t>
      </w:r>
    </w:p>
    <w:p w:rsidR="00771F23" w:rsidRDefault="00440688">
      <w:pPr>
        <w:spacing w:after="360"/>
      </w:pPr>
      <w:r>
        <w:rPr>
          <w:i/>
          <w:iCs/>
          <w:color w:val="595959"/>
        </w:rPr>
        <w:t xml:space="preserve">Shopping mall transactions across 10 </w:t>
      </w:r>
      <w:proofErr w:type="gramStart"/>
      <w:r>
        <w:rPr>
          <w:i/>
          <w:iCs/>
          <w:color w:val="595959"/>
        </w:rPr>
        <w:t xml:space="preserve">malls </w:t>
      </w:r>
      <w:r>
        <w:rPr>
          <w:i/>
          <w:iCs/>
          <w:color w:val="595959"/>
        </w:rPr>
        <w:t>,</w:t>
      </w:r>
      <w:proofErr w:type="gramEnd"/>
      <w:r>
        <w:rPr>
          <w:i/>
          <w:iCs/>
          <w:color w:val="595959"/>
        </w:rPr>
        <w:t xml:space="preserve"> 2021–2023  •  Built and analyzed in Power BI</w:t>
      </w:r>
    </w:p>
    <w:p w:rsidR="00771F23" w:rsidRDefault="00440688">
      <w:pPr>
        <w:pStyle w:val="Heading1"/>
      </w:pPr>
      <w:r>
        <w:t>Executive Summary</w:t>
      </w:r>
    </w:p>
    <w:p w:rsidR="00771F23" w:rsidRDefault="00440688">
      <w:pPr>
        <w:spacing w:after="160"/>
      </w:pPr>
      <w:r>
        <w:t>This report analyzes shopping behavior across ten malls in Istanbul between 2021 and 2023, covering invoice-level transactions, customer age and gender, product category, payment method, and order value. The underlying dataset was visualized through a five</w:t>
      </w:r>
      <w:r>
        <w:t>-page Power BI dashboard (Overview, Sales, Customer, Products, and Mall) and is summarized here as a narrative analysis answering the questions raised in the PRDA-04 brief.</w:t>
      </w:r>
    </w:p>
    <w:p w:rsidR="00771F23" w:rsidRDefault="00440688">
      <w:pPr>
        <w:spacing w:after="160"/>
      </w:pPr>
      <w:r>
        <w:t>Across the full period, the business generated $95.63M in revenue from 38K transact</w:t>
      </w:r>
      <w:r>
        <w:t xml:space="preserve">ions, 38K unique customers, and 114K units sold, at an average order value of $2.53K. Female customers accounted for 59.67% of revenue versus 40.33% for male customers, making gender the single most decisive driver of revenue concentration in the dataset. </w:t>
      </w:r>
      <w:r>
        <w:t xml:space="preserve">Clothing is the dominant category, contributing 45.11% of revenue and 39K units sold, while Mall of Istanbul and </w:t>
      </w:r>
      <w:proofErr w:type="spellStart"/>
      <w:r>
        <w:t>Kanyon</w:t>
      </w:r>
      <w:proofErr w:type="spellEnd"/>
      <w:r>
        <w:t xml:space="preserve"> together account for roughly 40% of total mall revenue. Cash remains the most common payment method, ahead of credit and debit cards.</w:t>
      </w:r>
    </w:p>
    <w:p w:rsidR="00771F23" w:rsidRDefault="00440688">
      <w:pPr>
        <w:spacing w:after="160"/>
      </w:pPr>
      <w:r>
        <w:t>On</w:t>
      </w:r>
      <w:r>
        <w:t>e important caveat shapes how every year-over-year figure in this report should be read: 2023 contains a much smaller volume of transactions and revenue than 2021 or 2022, consistent with the 2023 data covering only part of the year rather than a genuine d</w:t>
      </w:r>
      <w:r>
        <w:t>ecline in the business. This is discussed further in the Dataset Overview section below.</w:t>
      </w:r>
    </w:p>
    <w:p w:rsidR="00771F23" w:rsidRDefault="00440688">
      <w:pPr>
        <w:pStyle w:val="Heading1"/>
      </w:pPr>
      <w:r>
        <w:t>Dataset Overview &amp; Methodology</w:t>
      </w:r>
    </w:p>
    <w:p w:rsidR="00771F23" w:rsidRDefault="00440688">
      <w:pPr>
        <w:spacing w:after="160"/>
      </w:pPr>
      <w:r>
        <w:t xml:space="preserve">The dataset records ten attributes per transaction: invoice number, customer ID, gender, age, product category, quantity, </w:t>
      </w:r>
      <w:proofErr w:type="gramStart"/>
      <w:r>
        <w:t>unit</w:t>
      </w:r>
      <w:proofErr w:type="gramEnd"/>
      <w:r>
        <w:t xml:space="preserve"> price (Tu</w:t>
      </w:r>
      <w:r>
        <w:t>rkish Lira), payment method, invoice date, and shopping mall. Each row represents a single line-item transaction, which was aggregated in Power BI into five dashboard pages used as the basis for this analysis:</w:t>
      </w:r>
    </w:p>
    <w:p w:rsidR="00771F23" w:rsidRDefault="00440688">
      <w:pPr>
        <w:pStyle w:val="ListParagraph"/>
        <w:numPr>
          <w:ilvl w:val="0"/>
          <w:numId w:val="2"/>
        </w:numPr>
        <w:spacing w:after="120"/>
      </w:pPr>
      <w:r>
        <w:t>Overview — headline KPIs, monthly revenue tren</w:t>
      </w:r>
      <w:r>
        <w:t>d, category mix, payment method, and gender split</w:t>
      </w:r>
    </w:p>
    <w:p w:rsidR="00771F23" w:rsidRDefault="00440688">
      <w:pPr>
        <w:pStyle w:val="ListParagraph"/>
        <w:numPr>
          <w:ilvl w:val="0"/>
          <w:numId w:val="2"/>
        </w:numPr>
        <w:spacing w:after="120"/>
      </w:pPr>
      <w:r>
        <w:t xml:space="preserve">Sales — time-based revenue metrics (MTD, QTD, YTD, </w:t>
      </w:r>
      <w:proofErr w:type="spellStart"/>
      <w:r>
        <w:t>YoY</w:t>
      </w:r>
      <w:proofErr w:type="spellEnd"/>
      <w:r>
        <w:t xml:space="preserve"> growth) and monthly/quarterly trends</w:t>
      </w:r>
    </w:p>
    <w:p w:rsidR="00771F23" w:rsidRDefault="00440688">
      <w:pPr>
        <w:pStyle w:val="ListParagraph"/>
        <w:numPr>
          <w:ilvl w:val="0"/>
          <w:numId w:val="2"/>
        </w:numPr>
        <w:spacing w:after="120"/>
      </w:pPr>
      <w:r>
        <w:t>Customer — demographic cuts by gender and age group, including spend-per-customer and category preference</w:t>
      </w:r>
    </w:p>
    <w:p w:rsidR="00771F23" w:rsidRDefault="00440688">
      <w:pPr>
        <w:pStyle w:val="ListParagraph"/>
        <w:numPr>
          <w:ilvl w:val="0"/>
          <w:numId w:val="2"/>
        </w:numPr>
        <w:spacing w:after="120"/>
      </w:pPr>
      <w:r>
        <w:t>Products</w:t>
      </w:r>
      <w:r>
        <w:t xml:space="preserve"> — category volume, average unit price, average order value, and revenue-</w:t>
      </w:r>
      <w:proofErr w:type="spellStart"/>
      <w:r>
        <w:t>vs</w:t>
      </w:r>
      <w:proofErr w:type="spellEnd"/>
      <w:r>
        <w:t>-quantity comparisons</w:t>
      </w:r>
    </w:p>
    <w:p w:rsidR="00440688" w:rsidRDefault="00440688">
      <w:pPr>
        <w:pStyle w:val="ListParagraph"/>
        <w:numPr>
          <w:ilvl w:val="0"/>
          <w:numId w:val="2"/>
        </w:numPr>
        <w:spacing w:after="120"/>
      </w:pPr>
      <w:r>
        <w:t>Mall — revenue, transactions, and gender split broken out by each of the ten shopping malls</w:t>
      </w:r>
    </w:p>
    <w:p w:rsidR="00771F23" w:rsidRDefault="00440688" w:rsidP="00440688">
      <w:r>
        <w:br w:type="page"/>
      </w:r>
    </w:p>
    <w:tbl>
      <w:tblPr>
        <w:tblpPr w:leftFromText="180" w:rightFromText="180" w:horzAnchor="margin" w:tblpY="-32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1F23" w:rsidTr="00440688">
        <w:tblPrEx>
          <w:tblCellMar>
            <w:top w:w="0" w:type="dxa"/>
            <w:bottom w:w="0" w:type="dxa"/>
          </w:tblCellMar>
        </w:tblPrEx>
        <w:tc>
          <w:tcPr>
            <w:tcW w:w="9360" w:type="dxa"/>
            <w:tcBorders>
              <w:top w:val="single" w:sz="4" w:space="0" w:color="1E2761"/>
              <w:left w:val="single" w:sz="4" w:space="0" w:color="EEF2FA"/>
              <w:bottom w:val="single" w:sz="4" w:space="0" w:color="EEF2FA"/>
              <w:right w:val="single" w:sz="4" w:space="0" w:color="EEF2FA"/>
            </w:tcBorders>
            <w:shd w:val="clear" w:color="auto" w:fill="EEF2FA"/>
            <w:tcMar>
              <w:top w:w="160" w:type="dxa"/>
              <w:left w:w="200" w:type="dxa"/>
              <w:bottom w:w="160" w:type="dxa"/>
              <w:right w:w="200" w:type="dxa"/>
            </w:tcMar>
          </w:tcPr>
          <w:p w:rsidR="00771F23" w:rsidRDefault="00440688" w:rsidP="00440688">
            <w:pPr>
              <w:spacing w:after="60"/>
            </w:pPr>
            <w:r>
              <w:rPr>
                <w:b/>
                <w:bCs/>
                <w:color w:val="1E2761"/>
              </w:rPr>
              <w:lastRenderedPageBreak/>
              <w:t>D</w:t>
            </w:r>
            <w:r>
              <w:rPr>
                <w:b/>
                <w:bCs/>
                <w:color w:val="1E2761"/>
              </w:rPr>
              <w:t>ata quality note — 2023 coverage</w:t>
            </w:r>
          </w:p>
          <w:p w:rsidR="00771F23" w:rsidRDefault="00440688" w:rsidP="00440688">
            <w:r>
              <w:t>Total transactions by year fall f</w:t>
            </w:r>
            <w:r>
              <w:t xml:space="preserve">rom roughly 20K in 2021 and 17K in 2022 to only about 3K in 2023, and the </w:t>
            </w:r>
            <w:proofErr w:type="spellStart"/>
            <w:r>
              <w:t>YoY</w:t>
            </w:r>
            <w:proofErr w:type="spellEnd"/>
            <w:r>
              <w:t xml:space="preserve"> revenue-by-year chart shows the same pattern. This is far too large a drop to read as a genuine year-over-year collapse in the business — it strongly suggests the 2023 extract us</w:t>
            </w:r>
            <w:r>
              <w:t xml:space="preserve">ed for this dashboard stops partway through the year. As a result, the dashboard's headline “11.5% </w:t>
            </w:r>
            <w:proofErr w:type="spellStart"/>
            <w:r>
              <w:t>YoY</w:t>
            </w:r>
            <w:proofErr w:type="spellEnd"/>
            <w:r>
              <w:t xml:space="preserve"> Growth” figure and the $9.84M “Revenue YTD” figure should be treated as partial-year comparisons, not full-year performance, until the 2023 date range is</w:t>
            </w:r>
            <w:r>
              <w:t xml:space="preserve"> confirmed.</w:t>
            </w:r>
          </w:p>
        </w:tc>
      </w:tr>
    </w:tbl>
    <w:p w:rsidR="00771F23" w:rsidRDefault="00440688">
      <w:pPr>
        <w:pStyle w:val="Heading1"/>
      </w:pPr>
      <w:r>
        <w:t>Gender-Based Analysis</w:t>
      </w:r>
    </w:p>
    <w:p w:rsidR="00771F23" w:rsidRDefault="00440688">
      <w:pPr>
        <w:pStyle w:val="Heading2"/>
      </w:pPr>
      <w:r>
        <w:t>How is the shopping distribution according to gender?</w:t>
      </w:r>
    </w:p>
    <w:p w:rsidR="00771F23" w:rsidRDefault="00440688">
      <w:pPr>
        <w:spacing w:after="160"/>
      </w:pPr>
      <w:r>
        <w:t>Revenue is meaningfully skewed toward female customers, who generated 59.67% of total revenue compared with 40.33% for male customers — roughly a 3:2 split. This pattern is not confined to one mall or category: the Mall Revenue by Gender chart shows the fe</w:t>
      </w:r>
      <w:r>
        <w:t>male revenue line sitting above the male line at every single mall, and the Category Preference chart shows female revenue exceeding male revenue in every product category.</w:t>
      </w:r>
    </w:p>
    <w:p w:rsidR="00771F23" w:rsidRDefault="00440688">
      <w:pPr>
        <w:pStyle w:val="Heading2"/>
      </w:pPr>
      <w:r>
        <w:t>Which gender did we sell more products to?</w:t>
      </w:r>
    </w:p>
    <w:p w:rsidR="00771F23" w:rsidRDefault="00440688">
      <w:pPr>
        <w:spacing w:after="160"/>
      </w:pPr>
      <w:r>
        <w:t>The dashboards report unit volume in agg</w:t>
      </w:r>
      <w:r>
        <w:t>regate rather than split by gender directly, so this is inferred rather than read off a single chart. Because female customers generate more revenue in every category and represent a larger share of spend on every payment method (Payment Method by Gender),</w:t>
      </w:r>
      <w:r>
        <w:t xml:space="preserve"> it is reasonable to conclude female customers also account for more units purchased overall, consistent with their larger revenue share. Adding a quantity-by-gender measure to the Customer page would let this be confirmed directly rather than inferred.</w:t>
      </w:r>
    </w:p>
    <w:p w:rsidR="00771F23" w:rsidRDefault="00440688">
      <w:pPr>
        <w:pStyle w:val="Heading2"/>
      </w:pPr>
      <w:r>
        <w:t>Wh</w:t>
      </w:r>
      <w:r>
        <w:t>ich gender generated more revenue?</w:t>
      </w:r>
    </w:p>
    <w:p w:rsidR="00771F23" w:rsidRDefault="00440688">
      <w:pPr>
        <w:spacing w:after="160"/>
      </w:pPr>
      <w:r>
        <w:t>Female customers generated more revenue — 59.67% of the $95.63M total, against 40.33% for male customers, a gap of roughly $18–19M.</w:t>
      </w:r>
    </w:p>
    <w:p w:rsidR="00771F23" w:rsidRDefault="00440688">
      <w:pPr>
        <w:pStyle w:val="Heading2"/>
      </w:pPr>
      <w:r>
        <w:t>Distribution of purchase categories relative to other columns (by gender)</w:t>
      </w:r>
    </w:p>
    <w:p w:rsidR="00440688" w:rsidRDefault="00440688">
      <w:pPr>
        <w:spacing w:after="160"/>
      </w:pPr>
      <w:r>
        <w:t>Clothing is the</w:t>
      </w:r>
      <w:r>
        <w:t xml:space="preserve"> top category for both genders, followed by Shoes and then Technology; smaller categories (Cosmetics, Toys, Food &amp; Beverage, Books, Souvenir) trail well behind for both. Female revenue leads male revenue in every category, and the gap is widest in Clothing</w:t>
      </w:r>
      <w:r>
        <w:t xml:space="preserve"> (approximately $19M for female versus $16M for male), with smaller but consistent gaps in Shoes and Technology. In other words, the overall gender gap in revenue is broad-based rather than driven by one category.</w:t>
      </w:r>
    </w:p>
    <w:p w:rsidR="00440688" w:rsidRDefault="00440688" w:rsidP="00440688">
      <w:r>
        <w:br w:type="page"/>
      </w:r>
      <w:bookmarkStart w:id="0" w:name="_GoBack"/>
      <w:bookmarkEnd w:id="0"/>
    </w:p>
    <w:p w:rsidR="00771F23" w:rsidRDefault="00440688">
      <w:pPr>
        <w:pStyle w:val="Heading1"/>
      </w:pPr>
      <w:r>
        <w:lastRenderedPageBreak/>
        <w:t>Age-Based Analysis</w:t>
      </w:r>
    </w:p>
    <w:p w:rsidR="00771F23" w:rsidRDefault="00440688">
      <w:pPr>
        <w:spacing w:after="160"/>
      </w:pPr>
      <w:r>
        <w:t>The average customer ag</w:t>
      </w:r>
      <w:r>
        <w:t>e is 43.3, and the dataset segments customers into six age bands: 18–24, 25–34, 35–44, 45–54, 55–64, and 65+.</w:t>
      </w:r>
    </w:p>
    <w:p w:rsidR="00771F23" w:rsidRDefault="00440688">
      <w:pPr>
        <w:pStyle w:val="Heading2"/>
      </w:pPr>
      <w:r>
        <w:t>How is the shopping distribution according to age?</w:t>
      </w:r>
    </w:p>
    <w:p w:rsidR="00771F23" w:rsidRDefault="00440688">
      <w:pPr>
        <w:spacing w:after="160"/>
      </w:pPr>
      <w:r>
        <w:t>The 35–44 band generates the most revenue, closely followed by 45–54, then 25–34 and 55–64 at s</w:t>
      </w:r>
      <w:r>
        <w:t>imilar levels, with 18–24 noticeably lower and 65+ the smallest contributor. The middle-aged bands (25–64) together account for the large majority of revenue, while the youngest and oldest bands are comparatively under-represented.</w:t>
      </w:r>
    </w:p>
    <w:p w:rsidR="00771F23" w:rsidRDefault="00440688">
      <w:pPr>
        <w:pStyle w:val="Heading2"/>
      </w:pPr>
      <w:r>
        <w:t>Which age category did w</w:t>
      </w:r>
      <w:r>
        <w:t>e sell more products to?</w:t>
      </w:r>
    </w:p>
    <w:p w:rsidR="00771F23" w:rsidRDefault="00440688">
      <w:pPr>
        <w:spacing w:after="160"/>
      </w:pPr>
      <w:r>
        <w:t>Unit volume is not broken out by age band in the current dashboards, so this is best answered through average spend per customer, which moves in the opposite direction to total revenue by age: the 55–64 band has the highest average</w:t>
      </w:r>
      <w:r>
        <w:t xml:space="preserve"> spend per customer (around $2,600), declining steadily through 45–54, 35–44, and 25–64, down to the 18–24 band, which has the lowest average spend (around $2,480). This implies the 35–44 band leads total revenue mainly because it has the largest number of</w:t>
      </w:r>
      <w:r>
        <w:t xml:space="preserve"> customers, not because each customer spends the most — older customers (55–64) spend more individually but there are fewer of them.</w:t>
      </w:r>
    </w:p>
    <w:p w:rsidR="00771F23" w:rsidRDefault="00440688">
      <w:pPr>
        <w:pStyle w:val="Heading2"/>
      </w:pPr>
      <w:r>
        <w:t>Which age category generated more revenue?</w:t>
      </w:r>
    </w:p>
    <w:p w:rsidR="00771F23" w:rsidRDefault="00440688">
      <w:pPr>
        <w:spacing w:after="160"/>
      </w:pPr>
      <w:r>
        <w:t>The 35–44 age group generated the most revenue of the six bands, with 45–54 close behind.</w:t>
      </w:r>
    </w:p>
    <w:p w:rsidR="00771F23" w:rsidRDefault="00440688">
      <w:pPr>
        <w:pStyle w:val="Heading2"/>
      </w:pPr>
      <w:r>
        <w:t>Distribution of purchase categories relative to other columns (by age)</w:t>
      </w:r>
    </w:p>
    <w:p w:rsidR="00771F23" w:rsidRDefault="00440688">
      <w:pPr>
        <w:spacing w:after="160"/>
      </w:pPr>
      <w:r>
        <w:t>This is a gap in the current dashboard set: the Customer page breaks out category preference by</w:t>
      </w:r>
      <w:r>
        <w:t xml:space="preserve"> gender but not by age band, so a direct category-by-age view is not yet available. This is flagged as a recommended addition in the Recommendations section below rather than answered from existing visuals.</w:t>
      </w:r>
    </w:p>
    <w:p w:rsidR="00771F23" w:rsidRDefault="00440688">
      <w:pPr>
        <w:pStyle w:val="Heading1"/>
      </w:pPr>
      <w:r>
        <w:t>Payment Method Analysis</w:t>
      </w:r>
    </w:p>
    <w:p w:rsidR="00771F23" w:rsidRDefault="00440688">
      <w:pPr>
        <w:pStyle w:val="Heading2"/>
      </w:pPr>
      <w:r>
        <w:t xml:space="preserve">Does payment method have </w:t>
      </w:r>
      <w:r>
        <w:t>a relation with other columns?</w:t>
      </w:r>
    </w:p>
    <w:p w:rsidR="00771F23" w:rsidRDefault="00440688">
      <w:pPr>
        <w:spacing w:after="160"/>
      </w:pPr>
      <w:r>
        <w:t>Payment method does not appear to interact meaningfully with gender: the Payment Method by Gender chart shows cash, credit card, and debit card all split between female and male customers in roughly the same proportion as the</w:t>
      </w:r>
      <w:r>
        <w:t xml:space="preserve"> overall 59.67% / 40.33% revenue split, with no method skewing disproportionately toward either gender. In other words, customers of both genders choose between cash, credit, and debit in broadly similar proportions — payment preference looks independent o</w:t>
      </w:r>
      <w:r>
        <w:t>f gender in this dataset.</w:t>
      </w:r>
    </w:p>
    <w:p w:rsidR="00771F23" w:rsidRDefault="00440688">
      <w:pPr>
        <w:pStyle w:val="Heading2"/>
      </w:pPr>
      <w:r>
        <w:t>How is the distribution of the payment method?</w:t>
      </w:r>
    </w:p>
    <w:p w:rsidR="00771F23" w:rsidRDefault="00440688">
      <w:pPr>
        <w:spacing w:after="160"/>
      </w:pPr>
      <w:r>
        <w:t>Cash is the most-used payment method by revenue, followed by credit card, with debit card a clear third and meaningfully behind the other two. This ordering (cash &gt; credit card &gt;</w:t>
      </w:r>
      <w:r>
        <w:t xml:space="preserve"> debit card) holds consistently across the dashboard's gender breakdown as well.</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1F23">
        <w:tblPrEx>
          <w:tblCellMar>
            <w:top w:w="0" w:type="dxa"/>
            <w:bottom w:w="0" w:type="dxa"/>
          </w:tblCellMar>
        </w:tblPrEx>
        <w:tc>
          <w:tcPr>
            <w:tcW w:w="9360" w:type="dxa"/>
            <w:tcBorders>
              <w:top w:val="single" w:sz="4" w:space="0" w:color="1E2761"/>
              <w:left w:val="single" w:sz="4" w:space="0" w:color="EEF2FA"/>
              <w:bottom w:val="single" w:sz="4" w:space="0" w:color="EEF2FA"/>
              <w:right w:val="single" w:sz="4" w:space="0" w:color="EEF2FA"/>
            </w:tcBorders>
            <w:shd w:val="clear" w:color="auto" w:fill="EEF2FA"/>
            <w:tcMar>
              <w:top w:w="160" w:type="dxa"/>
              <w:left w:w="200" w:type="dxa"/>
              <w:bottom w:w="160" w:type="dxa"/>
              <w:right w:w="200" w:type="dxa"/>
            </w:tcMar>
          </w:tcPr>
          <w:p w:rsidR="00771F23" w:rsidRDefault="00440688">
            <w:pPr>
              <w:spacing w:after="60"/>
            </w:pPr>
            <w:r>
              <w:rPr>
                <w:b/>
                <w:bCs/>
                <w:color w:val="1E2761"/>
              </w:rPr>
              <w:lastRenderedPageBreak/>
              <w:t>Data quality note — “Top Categories by Revenue” visual</w:t>
            </w:r>
          </w:p>
          <w:p w:rsidR="00771F23" w:rsidRDefault="00440688">
            <w:r>
              <w:t xml:space="preserve">On the Sales page, the bar values shown under “Top Categories by Revenue” (Clothing 39K, Food &amp; Beverage 17K, Cosmetics </w:t>
            </w:r>
            <w:r>
              <w:t xml:space="preserve">17K, Shoes 12K, Toys 12K) are identical to the unit-quantity figures shown elsewhere in the dashboard (Category Volume </w:t>
            </w:r>
            <w:proofErr w:type="spellStart"/>
            <w:r>
              <w:t>Treemap</w:t>
            </w:r>
            <w:proofErr w:type="spellEnd"/>
            <w:r>
              <w:t xml:space="preserve">, </w:t>
            </w:r>
            <w:proofErr w:type="spellStart"/>
            <w:r>
              <w:t>Qty</w:t>
            </w:r>
            <w:proofErr w:type="spellEnd"/>
            <w:r>
              <w:t xml:space="preserve"> Sold by Category). This strongly suggests that visual is currently bound to a quantity measure rather than a revenue measure</w:t>
            </w:r>
            <w:r>
              <w:t>, and should be checked before being used to make category-investment decisions.</w:t>
            </w:r>
          </w:p>
        </w:tc>
      </w:tr>
    </w:tbl>
    <w:p w:rsidR="00771F23" w:rsidRDefault="00440688">
      <w:pPr>
        <w:pStyle w:val="Heading1"/>
      </w:pPr>
      <w:r>
        <w:t>Category &amp; Product Analysis</w:t>
      </w:r>
    </w:p>
    <w:p w:rsidR="00771F23" w:rsidRDefault="00440688">
      <w:pPr>
        <w:spacing w:after="160"/>
      </w:pPr>
      <w:r>
        <w:t>Clothing is the clear anchor category, contributing 45.11% of total revenue and 39K units sold — more than double the volume of the next largest c</w:t>
      </w:r>
      <w:r>
        <w:t>ategory. Shoes is the second-largest revenue contributor at 26.88%, followed by Technology at 22.82%; together these three categories account for over 94% of total revenue. Cosmetics, despite a respectable 17K units sold, contributes only 2.66% of revenue,</w:t>
      </w:r>
      <w:r>
        <w:t xml:space="preserve"> reflecting a low per-unit price. Toys, Food &amp; Beverage, Books, and Souvenir are long-tail categories that each contribute a small fraction of revenue and volume.</w:t>
      </w:r>
    </w:p>
    <w:p w:rsidR="00771F23" w:rsidRDefault="00440688">
      <w:pPr>
        <w:spacing w:after="160"/>
      </w:pPr>
      <w:r>
        <w:t>Average order value varies sharply by category: Technology has by far the highest average ord</w:t>
      </w:r>
      <w:r>
        <w:t>er value at $11.6K, driven by a high average unit price despite relatively low unit volume (around 6K units) — a premium, low-frequency category. Shoes follows at $6.7K average order value, and Clothing sits lower at $3.3K despite its volume leadership, re</w:t>
      </w:r>
      <w:r>
        <w:t>flecting a high-frequency, lower-unit-price profile. Cosmetics' average order value is markedly lower again, consistent with its high volume but low revenue share.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2100"/>
        <w:gridCol w:w="2360"/>
      </w:tblGrid>
      <w:tr w:rsidR="00771F23">
        <w:tblPrEx>
          <w:tblCellMar>
            <w:top w:w="0" w:type="dxa"/>
            <w:bottom w:w="0" w:type="dxa"/>
          </w:tblCellMar>
        </w:tblPrEx>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E2761"/>
            <w:tcMar>
              <w:top w:w="100" w:type="dxa"/>
              <w:left w:w="120" w:type="dxa"/>
              <w:bottom w:w="100" w:type="dxa"/>
              <w:right w:w="120" w:type="dxa"/>
            </w:tcMar>
          </w:tcPr>
          <w:p w:rsidR="00771F23" w:rsidRDefault="00440688">
            <w:r>
              <w:rPr>
                <w:b/>
                <w:bCs/>
                <w:color w:val="FFFFFF"/>
                <w:sz w:val="21"/>
                <w:szCs w:val="21"/>
              </w:rPr>
              <w:t>Category</w:t>
            </w:r>
          </w:p>
        </w:tc>
        <w:tc>
          <w:tcPr>
            <w:tcW w:w="2300" w:type="dxa"/>
            <w:tcBorders>
              <w:top w:val="single" w:sz="2" w:space="0" w:color="CCCCCC"/>
              <w:left w:val="single" w:sz="2" w:space="0" w:color="CCCCCC"/>
              <w:bottom w:val="single" w:sz="2" w:space="0" w:color="CCCCCC"/>
              <w:right w:val="single" w:sz="2" w:space="0" w:color="CCCCCC"/>
            </w:tcBorders>
            <w:shd w:val="clear" w:color="auto" w:fill="1E2761"/>
            <w:tcMar>
              <w:top w:w="100" w:type="dxa"/>
              <w:left w:w="120" w:type="dxa"/>
              <w:bottom w:w="100" w:type="dxa"/>
              <w:right w:w="120" w:type="dxa"/>
            </w:tcMar>
          </w:tcPr>
          <w:p w:rsidR="00771F23" w:rsidRDefault="00440688">
            <w:r>
              <w:rPr>
                <w:b/>
                <w:bCs/>
                <w:color w:val="FFFFFF"/>
                <w:sz w:val="21"/>
                <w:szCs w:val="21"/>
              </w:rPr>
              <w:t>Revenue Share</w:t>
            </w:r>
          </w:p>
        </w:tc>
        <w:tc>
          <w:tcPr>
            <w:tcW w:w="2100" w:type="dxa"/>
            <w:tcBorders>
              <w:top w:val="single" w:sz="2" w:space="0" w:color="CCCCCC"/>
              <w:left w:val="single" w:sz="2" w:space="0" w:color="CCCCCC"/>
              <w:bottom w:val="single" w:sz="2" w:space="0" w:color="CCCCCC"/>
              <w:right w:val="single" w:sz="2" w:space="0" w:color="CCCCCC"/>
            </w:tcBorders>
            <w:shd w:val="clear" w:color="auto" w:fill="1E2761"/>
            <w:tcMar>
              <w:top w:w="100" w:type="dxa"/>
              <w:left w:w="120" w:type="dxa"/>
              <w:bottom w:w="100" w:type="dxa"/>
              <w:right w:w="120" w:type="dxa"/>
            </w:tcMar>
          </w:tcPr>
          <w:p w:rsidR="00771F23" w:rsidRDefault="00440688">
            <w:r>
              <w:rPr>
                <w:b/>
                <w:bCs/>
                <w:color w:val="FFFFFF"/>
                <w:sz w:val="21"/>
                <w:szCs w:val="21"/>
              </w:rPr>
              <w:t>Units Sold</w:t>
            </w:r>
          </w:p>
        </w:tc>
        <w:tc>
          <w:tcPr>
            <w:tcW w:w="2360" w:type="dxa"/>
            <w:tcBorders>
              <w:top w:val="single" w:sz="2" w:space="0" w:color="CCCCCC"/>
              <w:left w:val="single" w:sz="2" w:space="0" w:color="CCCCCC"/>
              <w:bottom w:val="single" w:sz="2" w:space="0" w:color="CCCCCC"/>
              <w:right w:val="single" w:sz="2" w:space="0" w:color="CCCCCC"/>
            </w:tcBorders>
            <w:shd w:val="clear" w:color="auto" w:fill="1E2761"/>
            <w:tcMar>
              <w:top w:w="100" w:type="dxa"/>
              <w:left w:w="120" w:type="dxa"/>
              <w:bottom w:w="100" w:type="dxa"/>
              <w:right w:w="120" w:type="dxa"/>
            </w:tcMar>
          </w:tcPr>
          <w:p w:rsidR="00771F23" w:rsidRDefault="00440688">
            <w:proofErr w:type="spellStart"/>
            <w:r>
              <w:rPr>
                <w:b/>
                <w:bCs/>
                <w:color w:val="FFFFFF"/>
                <w:sz w:val="21"/>
                <w:szCs w:val="21"/>
              </w:rPr>
              <w:t>Avg</w:t>
            </w:r>
            <w:proofErr w:type="spellEnd"/>
            <w:r>
              <w:rPr>
                <w:b/>
                <w:bCs/>
                <w:color w:val="FFFFFF"/>
                <w:sz w:val="21"/>
                <w:szCs w:val="21"/>
              </w:rPr>
              <w:t xml:space="preserve"> Order Value</w:t>
            </w:r>
          </w:p>
        </w:tc>
      </w:tr>
      <w:tr w:rsidR="00771F23">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Clothing</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45.11%</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39K</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$3.3K</w:t>
            </w:r>
          </w:p>
        </w:tc>
      </w:tr>
      <w:tr w:rsidR="00771F23">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Shoes</w:t>
            </w:r>
          </w:p>
        </w:tc>
        <w:tc>
          <w:tcPr>
            <w:tcW w:w="23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26.88%</w:t>
            </w:r>
          </w:p>
        </w:tc>
        <w:tc>
          <w:tcPr>
            <w:tcW w:w="21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12K</w:t>
            </w:r>
          </w:p>
        </w:tc>
        <w:tc>
          <w:tcPr>
            <w:tcW w:w="236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$6.7K</w:t>
            </w:r>
          </w:p>
        </w:tc>
      </w:tr>
      <w:tr w:rsidR="00771F23">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Technology</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22.82%</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6K</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$11.6K</w:t>
            </w:r>
          </w:p>
        </w:tc>
      </w:tr>
      <w:tr w:rsidR="00771F23">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Cosmetics</w:t>
            </w:r>
          </w:p>
        </w:tc>
        <w:tc>
          <w:tcPr>
            <w:tcW w:w="23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2.66%</w:t>
            </w:r>
          </w:p>
        </w:tc>
        <w:tc>
          <w:tcPr>
            <w:tcW w:w="21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17K</w:t>
            </w:r>
          </w:p>
        </w:tc>
        <w:tc>
          <w:tcPr>
            <w:tcW w:w="236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Lower (long-tail)</w:t>
            </w:r>
          </w:p>
        </w:tc>
      </w:tr>
      <w:tr w:rsidR="00771F23">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Food &amp; Beverage / Toys / Books / Souvenir</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~2.5% combined</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5K–17K each</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Lower (long-tail)</w:t>
            </w:r>
          </w:p>
        </w:tc>
      </w:tr>
    </w:tbl>
    <w:p w:rsidR="00771F23" w:rsidRDefault="00440688">
      <w:pPr>
        <w:pStyle w:val="Heading1"/>
      </w:pPr>
      <w:r>
        <w:t>Mall Performance Analysis</w:t>
      </w:r>
    </w:p>
    <w:p w:rsidR="00771F23" w:rsidRDefault="00440688">
      <w:pPr>
        <w:spacing w:after="160"/>
      </w:pPr>
      <w:r>
        <w:t xml:space="preserve">Revenue is concentrated in a small number of malls. Mall of Istanbul leads with $19.61M, closely followed by </w:t>
      </w:r>
      <w:proofErr w:type="spellStart"/>
      <w:r>
        <w:t>Kanyon</w:t>
      </w:r>
      <w:proofErr w:type="spellEnd"/>
      <w:r>
        <w:t xml:space="preserve"> at $19.21M and </w:t>
      </w:r>
      <w:proofErr w:type="spellStart"/>
      <w:r>
        <w:t>Metrocity</w:t>
      </w:r>
      <w:proofErr w:type="spellEnd"/>
      <w:r>
        <w:t xml:space="preserve"> at $14.44M — together these three malls generate roughly 56% of total revenue. The remaining seven malls each contr</w:t>
      </w:r>
      <w:r>
        <w:t>ibute under $10M, and the bottom five (</w:t>
      </w:r>
      <w:proofErr w:type="spellStart"/>
      <w:r>
        <w:t>Zorlu</w:t>
      </w:r>
      <w:proofErr w:type="spellEnd"/>
      <w:r>
        <w:t xml:space="preserve"> Center, Forum Istanbul, </w:t>
      </w:r>
      <w:proofErr w:type="spellStart"/>
      <w:r>
        <w:t>Viaport</w:t>
      </w:r>
      <w:proofErr w:type="spellEnd"/>
      <w:r>
        <w:t xml:space="preserve"> Outlet, </w:t>
      </w:r>
      <w:proofErr w:type="spellStart"/>
      <w:r>
        <w:t>Cevahir</w:t>
      </w:r>
      <w:proofErr w:type="spellEnd"/>
      <w:r>
        <w:t xml:space="preserve"> AVM, and </w:t>
      </w:r>
      <w:proofErr w:type="spellStart"/>
      <w:r>
        <w:t>Emaar</w:t>
      </w:r>
      <w:proofErr w:type="spellEnd"/>
      <w:r>
        <w:t xml:space="preserve"> Square) each generate under $5M, together accounting for less revenue than Mall of Istanbul and </w:t>
      </w:r>
      <w:proofErr w:type="spellStart"/>
      <w:r>
        <w:t>Kanyon</w:t>
      </w:r>
      <w:proofErr w:type="spellEnd"/>
      <w:r>
        <w:t xml:space="preserve"> combined. Transaction counts follow the same </w:t>
      </w:r>
      <w:r>
        <w:t xml:space="preserve">pattern: Mall of Istanbul and </w:t>
      </w:r>
      <w:proofErr w:type="spellStart"/>
      <w:r>
        <w:t>Kanyon</w:t>
      </w:r>
      <w:proofErr w:type="spellEnd"/>
      <w:r>
        <w:t xml:space="preserve"> each record about 7.6K transactions, versus roughly 1.8K–2.0K for the bottom-tier malls. The Mall Revenue by Gender chart shows the female revenue line above the male line at every mall, </w:t>
      </w:r>
      <w:r>
        <w:lastRenderedPageBreak/>
        <w:t>confirming the gender pattern ob</w:t>
      </w:r>
      <w:r>
        <w:t>served earlier is consistent across all ten locations rather than driven by one or two outliers.</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771F23">
        <w:tblPrEx>
          <w:tblCellMar>
            <w:top w:w="0" w:type="dxa"/>
            <w:bottom w:w="0" w:type="dxa"/>
          </w:tblCellMar>
        </w:tblPrEx>
        <w:trPr>
          <w:tblHeader/>
        </w:trPr>
        <w:tc>
          <w:tcPr>
            <w:tcW w:w="4360" w:type="dxa"/>
            <w:tcBorders>
              <w:top w:val="single" w:sz="2" w:space="0" w:color="CCCCCC"/>
              <w:left w:val="single" w:sz="2" w:space="0" w:color="CCCCCC"/>
              <w:bottom w:val="single" w:sz="2" w:space="0" w:color="CCCCCC"/>
              <w:right w:val="single" w:sz="2" w:space="0" w:color="CCCCCC"/>
            </w:tcBorders>
            <w:shd w:val="clear" w:color="auto" w:fill="1E2761"/>
            <w:tcMar>
              <w:top w:w="100" w:type="dxa"/>
              <w:left w:w="120" w:type="dxa"/>
              <w:bottom w:w="100" w:type="dxa"/>
              <w:right w:w="120" w:type="dxa"/>
            </w:tcMar>
          </w:tcPr>
          <w:p w:rsidR="00771F23" w:rsidRDefault="00440688">
            <w:r>
              <w:rPr>
                <w:b/>
                <w:bCs/>
                <w:color w:val="FFFFFF"/>
                <w:sz w:val="21"/>
                <w:szCs w:val="21"/>
              </w:rPr>
              <w:t>Mall</w:t>
            </w:r>
          </w:p>
        </w:tc>
        <w:tc>
          <w:tcPr>
            <w:tcW w:w="2500" w:type="dxa"/>
            <w:tcBorders>
              <w:top w:val="single" w:sz="2" w:space="0" w:color="CCCCCC"/>
              <w:left w:val="single" w:sz="2" w:space="0" w:color="CCCCCC"/>
              <w:bottom w:val="single" w:sz="2" w:space="0" w:color="CCCCCC"/>
              <w:right w:val="single" w:sz="2" w:space="0" w:color="CCCCCC"/>
            </w:tcBorders>
            <w:shd w:val="clear" w:color="auto" w:fill="1E2761"/>
            <w:tcMar>
              <w:top w:w="100" w:type="dxa"/>
              <w:left w:w="120" w:type="dxa"/>
              <w:bottom w:w="100" w:type="dxa"/>
              <w:right w:w="120" w:type="dxa"/>
            </w:tcMar>
          </w:tcPr>
          <w:p w:rsidR="00771F23" w:rsidRDefault="00440688">
            <w:r>
              <w:rPr>
                <w:b/>
                <w:bCs/>
                <w:color w:val="FFFFFF"/>
                <w:sz w:val="21"/>
                <w:szCs w:val="21"/>
              </w:rPr>
              <w:t>Revenue</w:t>
            </w:r>
          </w:p>
        </w:tc>
        <w:tc>
          <w:tcPr>
            <w:tcW w:w="2500" w:type="dxa"/>
            <w:tcBorders>
              <w:top w:val="single" w:sz="2" w:space="0" w:color="CCCCCC"/>
              <w:left w:val="single" w:sz="2" w:space="0" w:color="CCCCCC"/>
              <w:bottom w:val="single" w:sz="2" w:space="0" w:color="CCCCCC"/>
              <w:right w:val="single" w:sz="2" w:space="0" w:color="CCCCCC"/>
            </w:tcBorders>
            <w:shd w:val="clear" w:color="auto" w:fill="1E2761"/>
            <w:tcMar>
              <w:top w:w="100" w:type="dxa"/>
              <w:left w:w="120" w:type="dxa"/>
              <w:bottom w:w="100" w:type="dxa"/>
              <w:right w:w="120" w:type="dxa"/>
            </w:tcMar>
          </w:tcPr>
          <w:p w:rsidR="00771F23" w:rsidRDefault="00440688">
            <w:r>
              <w:rPr>
                <w:b/>
                <w:bCs/>
                <w:color w:val="FFFFFF"/>
                <w:sz w:val="21"/>
                <w:szCs w:val="21"/>
              </w:rPr>
              <w:t>Transactions</w:t>
            </w:r>
          </w:p>
        </w:tc>
      </w:tr>
      <w:tr w:rsidR="00771F23">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Mall of Istanbul</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$19.61M</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7.6K</w:t>
            </w:r>
          </w:p>
        </w:tc>
      </w:tr>
      <w:tr w:rsidR="00771F23">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proofErr w:type="spellStart"/>
            <w:r>
              <w:rPr>
                <w:sz w:val="21"/>
                <w:szCs w:val="21"/>
              </w:rPr>
              <w:t>Kanyon</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$19.21M</w:t>
            </w:r>
          </w:p>
        </w:tc>
        <w:tc>
          <w:tcPr>
            <w:tcW w:w="25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7.6K</w:t>
            </w:r>
          </w:p>
        </w:tc>
      </w:tr>
      <w:tr w:rsidR="00771F23">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proofErr w:type="spellStart"/>
            <w:r>
              <w:rPr>
                <w:sz w:val="21"/>
                <w:szCs w:val="21"/>
              </w:rPr>
              <w:t>Metrocity</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$14.44M</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5.7K</w:t>
            </w:r>
          </w:p>
        </w:tc>
      </w:tr>
      <w:tr w:rsidR="00771F23">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proofErr w:type="spellStart"/>
            <w:r>
              <w:rPr>
                <w:sz w:val="21"/>
                <w:szCs w:val="21"/>
              </w:rPr>
              <w:t>Metropol</w:t>
            </w:r>
            <w:proofErr w:type="spellEnd"/>
            <w:r>
              <w:rPr>
                <w:sz w:val="21"/>
                <w:szCs w:val="21"/>
              </w:rPr>
              <w:t xml:space="preserve"> AVM</w:t>
            </w:r>
          </w:p>
        </w:tc>
        <w:tc>
          <w:tcPr>
            <w:tcW w:w="25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$9.82M</w:t>
            </w:r>
          </w:p>
        </w:tc>
        <w:tc>
          <w:tcPr>
            <w:tcW w:w="25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3.9K</w:t>
            </w:r>
          </w:p>
        </w:tc>
      </w:tr>
      <w:tr w:rsidR="00771F23">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proofErr w:type="spellStart"/>
            <w:r>
              <w:rPr>
                <w:sz w:val="21"/>
                <w:szCs w:val="21"/>
              </w:rPr>
              <w:t>Istinye</w:t>
            </w:r>
            <w:proofErr w:type="spellEnd"/>
            <w:r>
              <w:rPr>
                <w:sz w:val="21"/>
                <w:szCs w:val="21"/>
              </w:rPr>
              <w:t xml:space="preserve"> Park</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$9.52M</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3.7K</w:t>
            </w:r>
          </w:p>
        </w:tc>
      </w:tr>
      <w:tr w:rsidR="00771F23">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proofErr w:type="spellStart"/>
            <w:r>
              <w:rPr>
                <w:sz w:val="21"/>
                <w:szCs w:val="21"/>
              </w:rPr>
              <w:t>Zorlu</w:t>
            </w:r>
            <w:proofErr w:type="spellEnd"/>
            <w:r>
              <w:rPr>
                <w:sz w:val="21"/>
                <w:szCs w:val="21"/>
              </w:rPr>
              <w:t xml:space="preserve"> Center</w:t>
            </w:r>
          </w:p>
        </w:tc>
        <w:tc>
          <w:tcPr>
            <w:tcW w:w="25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$4.77M</w:t>
            </w:r>
          </w:p>
        </w:tc>
        <w:tc>
          <w:tcPr>
            <w:tcW w:w="25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2.0K</w:t>
            </w:r>
          </w:p>
        </w:tc>
      </w:tr>
      <w:tr w:rsidR="00771F23">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Forum Istanbul</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$4.63M</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1.9K</w:t>
            </w:r>
          </w:p>
        </w:tc>
      </w:tr>
      <w:tr w:rsidR="00771F23">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proofErr w:type="spellStart"/>
            <w:r>
              <w:rPr>
                <w:sz w:val="21"/>
                <w:szCs w:val="21"/>
              </w:rPr>
              <w:t>Viaport</w:t>
            </w:r>
            <w:proofErr w:type="spellEnd"/>
            <w:r>
              <w:rPr>
                <w:sz w:val="21"/>
                <w:szCs w:val="21"/>
              </w:rPr>
              <w:t xml:space="preserve"> Outlet</w:t>
            </w:r>
          </w:p>
        </w:tc>
        <w:tc>
          <w:tcPr>
            <w:tcW w:w="25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$4.61M</w:t>
            </w:r>
          </w:p>
        </w:tc>
        <w:tc>
          <w:tcPr>
            <w:tcW w:w="25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1.8K</w:t>
            </w:r>
          </w:p>
        </w:tc>
      </w:tr>
      <w:tr w:rsidR="00771F23">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proofErr w:type="spellStart"/>
            <w:r>
              <w:rPr>
                <w:sz w:val="21"/>
                <w:szCs w:val="21"/>
              </w:rPr>
              <w:t>Cevahir</w:t>
            </w:r>
            <w:proofErr w:type="spellEnd"/>
            <w:r>
              <w:rPr>
                <w:sz w:val="21"/>
                <w:szCs w:val="21"/>
              </w:rPr>
              <w:t xml:space="preserve"> AVM</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$4.43M</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tcPr>
          <w:p w:rsidR="00771F23" w:rsidRDefault="00440688">
            <w:r>
              <w:rPr>
                <w:sz w:val="21"/>
                <w:szCs w:val="21"/>
              </w:rPr>
              <w:t>1.9K</w:t>
            </w:r>
          </w:p>
        </w:tc>
      </w:tr>
      <w:tr w:rsidR="00771F23">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proofErr w:type="spellStart"/>
            <w:r>
              <w:rPr>
                <w:sz w:val="21"/>
                <w:szCs w:val="21"/>
              </w:rPr>
              <w:t>Emaar</w:t>
            </w:r>
            <w:proofErr w:type="spellEnd"/>
            <w:r>
              <w:rPr>
                <w:sz w:val="21"/>
                <w:szCs w:val="21"/>
              </w:rPr>
              <w:t xml:space="preserve"> Square</w:t>
            </w:r>
          </w:p>
        </w:tc>
        <w:tc>
          <w:tcPr>
            <w:tcW w:w="25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~$4.59M</w:t>
            </w:r>
          </w:p>
        </w:tc>
        <w:tc>
          <w:tcPr>
            <w:tcW w:w="2500" w:type="dxa"/>
            <w:tcBorders>
              <w:top w:val="single" w:sz="2" w:space="0" w:color="CCCCCC"/>
              <w:left w:val="single" w:sz="2" w:space="0" w:color="CCCCCC"/>
              <w:bottom w:val="single" w:sz="2" w:space="0" w:color="CCCCCC"/>
              <w:right w:val="single" w:sz="2" w:space="0" w:color="CCCCCC"/>
            </w:tcBorders>
            <w:shd w:val="clear" w:color="auto" w:fill="F4F7FB"/>
            <w:tcMar>
              <w:top w:w="90" w:type="dxa"/>
              <w:left w:w="120" w:type="dxa"/>
              <w:bottom w:w="90" w:type="dxa"/>
              <w:right w:w="120" w:type="dxa"/>
            </w:tcMar>
          </w:tcPr>
          <w:p w:rsidR="00771F23" w:rsidRDefault="00440688">
            <w:r>
              <w:rPr>
                <w:sz w:val="21"/>
                <w:szCs w:val="21"/>
              </w:rPr>
              <w:t>1.8K</w:t>
            </w:r>
          </w:p>
        </w:tc>
      </w:tr>
    </w:tbl>
    <w:p w:rsidR="00771F23" w:rsidRDefault="00440688">
      <w:pPr>
        <w:pStyle w:val="Heading1"/>
      </w:pPr>
      <w:r>
        <w:t>Key Takeaways</w:t>
      </w:r>
    </w:p>
    <w:p w:rsidR="00771F23" w:rsidRDefault="00440688">
      <w:pPr>
        <w:pStyle w:val="ListParagraph"/>
        <w:numPr>
          <w:ilvl w:val="0"/>
          <w:numId w:val="2"/>
        </w:numPr>
        <w:spacing w:after="120"/>
      </w:pPr>
      <w:r>
        <w:t>Female customers drive the majority of revenue (59.67%) across every mall and every product category — not just on average.</w:t>
      </w:r>
    </w:p>
    <w:p w:rsidR="00771F23" w:rsidRDefault="00440688">
      <w:pPr>
        <w:pStyle w:val="ListParagraph"/>
        <w:numPr>
          <w:ilvl w:val="0"/>
          <w:numId w:val="2"/>
        </w:numPr>
        <w:spacing w:after="120"/>
      </w:pPr>
      <w:r>
        <w:t>Clothing, Shoes, and Technology together account for over 94% of revenue; Clothing alone drives both the most revenue and the most v</w:t>
      </w:r>
      <w:r>
        <w:t>olume.</w:t>
      </w:r>
    </w:p>
    <w:p w:rsidR="00771F23" w:rsidRDefault="00440688">
      <w:pPr>
        <w:pStyle w:val="ListParagraph"/>
        <w:numPr>
          <w:ilvl w:val="0"/>
          <w:numId w:val="2"/>
        </w:numPr>
        <w:spacing w:after="120"/>
      </w:pPr>
      <w:r>
        <w:t>Technology is a premium, low-frequency category with the highest average order value ($11.6K) despite modest unit volume.</w:t>
      </w:r>
    </w:p>
    <w:p w:rsidR="00771F23" w:rsidRDefault="00440688">
      <w:pPr>
        <w:pStyle w:val="ListParagraph"/>
        <w:numPr>
          <w:ilvl w:val="0"/>
          <w:numId w:val="2"/>
        </w:numPr>
        <w:spacing w:after="120"/>
      </w:pPr>
      <w:r>
        <w:t>The 35–44 age band leads on total revenue, but the 55–64 band spends the most per customer — these are two different kinds of “</w:t>
      </w:r>
      <w:r>
        <w:t>valuable customer.”</w:t>
      </w:r>
    </w:p>
    <w:p w:rsidR="00771F23" w:rsidRDefault="00440688">
      <w:pPr>
        <w:pStyle w:val="ListParagraph"/>
        <w:numPr>
          <w:ilvl w:val="0"/>
          <w:numId w:val="2"/>
        </w:numPr>
        <w:spacing w:after="120"/>
      </w:pPr>
      <w:r>
        <w:t>Cash is the leading payment method, and payment choice looks independent of gender.</w:t>
      </w:r>
    </w:p>
    <w:p w:rsidR="00771F23" w:rsidRDefault="00440688">
      <w:pPr>
        <w:pStyle w:val="ListParagraph"/>
        <w:numPr>
          <w:ilvl w:val="0"/>
          <w:numId w:val="2"/>
        </w:numPr>
        <w:spacing w:after="120"/>
      </w:pPr>
      <w:r>
        <w:t xml:space="preserve">Just three malls (Mall of Istanbul, </w:t>
      </w:r>
      <w:proofErr w:type="spellStart"/>
      <w:r>
        <w:t>Kanyon</w:t>
      </w:r>
      <w:proofErr w:type="spellEnd"/>
      <w:r>
        <w:t xml:space="preserve">, </w:t>
      </w:r>
      <w:proofErr w:type="spellStart"/>
      <w:proofErr w:type="gramStart"/>
      <w:r>
        <w:t>Metrocity</w:t>
      </w:r>
      <w:proofErr w:type="spellEnd"/>
      <w:proofErr w:type="gramEnd"/>
      <w:r>
        <w:t>) generate over half of total revenue; the bottom five malls combined still trail the top two.</w:t>
      </w:r>
    </w:p>
    <w:p w:rsidR="00771F23" w:rsidRDefault="00440688">
      <w:pPr>
        <w:pStyle w:val="ListParagraph"/>
        <w:numPr>
          <w:ilvl w:val="0"/>
          <w:numId w:val="2"/>
        </w:numPr>
        <w:spacing w:after="120"/>
      </w:pPr>
      <w:r>
        <w:t>2023</w:t>
      </w:r>
      <w:r>
        <w:t xml:space="preserve"> figures in the dashboard reflect a partial year of data, not a real decline — </w:t>
      </w:r>
      <w:proofErr w:type="spellStart"/>
      <w:r>
        <w:t>YoY</w:t>
      </w:r>
      <w:proofErr w:type="spellEnd"/>
      <w:r>
        <w:t xml:space="preserve"> metrics need re-basing once the date range is confirmed.</w:t>
      </w:r>
    </w:p>
    <w:p w:rsidR="00771F23" w:rsidRDefault="00440688">
      <w:pPr>
        <w:pStyle w:val="Heading1"/>
      </w:pPr>
      <w:r>
        <w:t>Recommendations</w:t>
      </w:r>
    </w:p>
    <w:p w:rsidR="00771F23" w:rsidRDefault="00440688">
      <w:pPr>
        <w:pStyle w:val="ListParagraph"/>
        <w:numPr>
          <w:ilvl w:val="0"/>
          <w:numId w:val="3"/>
        </w:numPr>
        <w:spacing w:after="120"/>
      </w:pPr>
      <w:r>
        <w:t>Sustain the female-led revenue base with continued category and marketing investment, while piloting</w:t>
      </w:r>
      <w:r>
        <w:t xml:space="preserve"> initiatives (targeted promotions, product range adjustments) aimed at growing male customer spend, to reduce reliance on a single demographic for roughly 60% of revenue.</w:t>
      </w:r>
    </w:p>
    <w:p w:rsidR="00771F23" w:rsidRDefault="00440688">
      <w:pPr>
        <w:pStyle w:val="ListParagraph"/>
        <w:numPr>
          <w:ilvl w:val="0"/>
          <w:numId w:val="3"/>
        </w:numPr>
        <w:spacing w:after="120"/>
      </w:pPr>
      <w:r>
        <w:lastRenderedPageBreak/>
        <w:t>Protect Clothing's volume leadership while using Technology's high average order valu</w:t>
      </w:r>
      <w:r>
        <w:t>e to design cross-category bundles (e.g., clothing + tech accessories) that lift basket size in lower-value categories like Cosmetics.</w:t>
      </w:r>
    </w:p>
    <w:p w:rsidR="00771F23" w:rsidRDefault="00440688">
      <w:pPr>
        <w:pStyle w:val="ListParagraph"/>
        <w:numPr>
          <w:ilvl w:val="0"/>
          <w:numId w:val="3"/>
        </w:numPr>
        <w:spacing w:after="120"/>
      </w:pPr>
      <w:r>
        <w:t>Conduct a focused review of the bottom-tier malls (</w:t>
      </w:r>
      <w:proofErr w:type="spellStart"/>
      <w:r>
        <w:t>Zorlu</w:t>
      </w:r>
      <w:proofErr w:type="spellEnd"/>
      <w:r>
        <w:t xml:space="preserve"> Center, Forum Istanbul, </w:t>
      </w:r>
      <w:proofErr w:type="spellStart"/>
      <w:r>
        <w:t>Viaport</w:t>
      </w:r>
      <w:proofErr w:type="spellEnd"/>
      <w:r>
        <w:t xml:space="preserve"> Outlet, </w:t>
      </w:r>
      <w:proofErr w:type="spellStart"/>
      <w:r>
        <w:t>Cevahir</w:t>
      </w:r>
      <w:proofErr w:type="spellEnd"/>
      <w:r>
        <w:t xml:space="preserve"> AVM, </w:t>
      </w:r>
      <w:proofErr w:type="spellStart"/>
      <w:r>
        <w:t>Emaar</w:t>
      </w:r>
      <w:proofErr w:type="spellEnd"/>
      <w:r>
        <w:t xml:space="preserve"> Squar</w:t>
      </w:r>
      <w:r>
        <w:t>e) — footfall, store mix, and local competition — since they collectively underperform the top two malls combined.</w:t>
      </w:r>
    </w:p>
    <w:p w:rsidR="00771F23" w:rsidRDefault="00440688">
      <w:pPr>
        <w:pStyle w:val="ListParagraph"/>
        <w:numPr>
          <w:ilvl w:val="0"/>
          <w:numId w:val="3"/>
        </w:numPr>
        <w:spacing w:after="120"/>
      </w:pPr>
      <w:r>
        <w:t>Introduce small incentives for debit card use (e.g., instant discounts) if reducing cash-handling costs and risk is a priority, since cash is</w:t>
      </w:r>
      <w:r>
        <w:t xml:space="preserve"> currently the leading payment method.</w:t>
      </w:r>
    </w:p>
    <w:p w:rsidR="00771F23" w:rsidRDefault="00440688">
      <w:pPr>
        <w:pStyle w:val="ListParagraph"/>
        <w:numPr>
          <w:ilvl w:val="0"/>
          <w:numId w:val="3"/>
        </w:numPr>
        <w:spacing w:after="120"/>
      </w:pPr>
      <w:r>
        <w:t>Build a loyalty or retention offer aimed at the 55–64 segment, the highest per-customer spenders, alongside acquisition-focused promotions for 18–24 customers, who spend the least per visit today but represent the lon</w:t>
      </w:r>
      <w:r>
        <w:t>gest customer lifetime ahead.</w:t>
      </w:r>
    </w:p>
    <w:p w:rsidR="00771F23" w:rsidRDefault="00440688">
      <w:pPr>
        <w:pStyle w:val="ListParagraph"/>
        <w:numPr>
          <w:ilvl w:val="0"/>
          <w:numId w:val="3"/>
        </w:numPr>
        <w:spacing w:after="120"/>
      </w:pPr>
      <w:r>
        <w:t xml:space="preserve">Confirm the exact date range covered by the 2023 data before reporting </w:t>
      </w:r>
      <w:proofErr w:type="spellStart"/>
      <w:r>
        <w:t>YoY</w:t>
      </w:r>
      <w:proofErr w:type="spellEnd"/>
      <w:r>
        <w:t xml:space="preserve"> growth; if 2023 is genuinely partial-year, </w:t>
      </w:r>
      <w:proofErr w:type="spellStart"/>
      <w:r>
        <w:t>recompute</w:t>
      </w:r>
      <w:proofErr w:type="spellEnd"/>
      <w:r>
        <w:t xml:space="preserve"> growth on a like-for-like period basis (e.g., January–April 2022 vs. January–April 2023) rather than full calendar years.</w:t>
      </w:r>
    </w:p>
    <w:p w:rsidR="00771F23" w:rsidRDefault="00440688">
      <w:pPr>
        <w:pStyle w:val="ListParagraph"/>
        <w:numPr>
          <w:ilvl w:val="0"/>
          <w:numId w:val="3"/>
        </w:numPr>
        <w:spacing w:after="120"/>
      </w:pPr>
      <w:r>
        <w:t xml:space="preserve">Add a </w:t>
      </w:r>
      <w:r>
        <w:t>category-by-age-group visual to the Customer page so the age/category question in the original brief can be answered directly from the dashboard rather than inferred.</w:t>
      </w:r>
    </w:p>
    <w:p w:rsidR="00771F23" w:rsidRDefault="00440688">
      <w:pPr>
        <w:pStyle w:val="ListParagraph"/>
        <w:numPr>
          <w:ilvl w:val="0"/>
          <w:numId w:val="3"/>
        </w:numPr>
        <w:spacing w:after="120"/>
      </w:pPr>
      <w:r>
        <w:t>Verify the data source bound to the “Top Categories by Revenue” visual on the Sales page,</w:t>
      </w:r>
      <w:r>
        <w:t xml:space="preserve"> since its values currently match unit-quantity figures rather than revenue figures.</w:t>
      </w:r>
    </w:p>
    <w:p w:rsidR="00771F23" w:rsidRDefault="00440688">
      <w:pPr>
        <w:pStyle w:val="Heading1"/>
      </w:pPr>
      <w:r>
        <w:t>Conclusion</w:t>
      </w:r>
    </w:p>
    <w:p w:rsidR="00771F23" w:rsidRDefault="00440688">
      <w:pPr>
        <w:spacing w:after="160"/>
      </w:pPr>
      <w:r>
        <w:t>The Power BI dashboard set built for this analysis provides a clear, multi-angle view of shopping behavior across ten Istanbul malls from 2021 to 2023. The data</w:t>
      </w:r>
      <w:r>
        <w:t xml:space="preserve"> points to a business whose revenue is concentrated along three dimensions — gender (female-led), category (Clothing, Shoes, and Technology), and location (a top tier of three malls) — with payment method behaving largely independently of these other facto</w:t>
      </w:r>
      <w:r>
        <w:t xml:space="preserve">rs. Addressing the data-quality items raised above (the 2023 date range and the mislabeled category-revenue visual) will make future </w:t>
      </w:r>
      <w:proofErr w:type="spellStart"/>
      <w:r>
        <w:t>YoY</w:t>
      </w:r>
      <w:proofErr w:type="spellEnd"/>
      <w:r>
        <w:t xml:space="preserve"> and category reporting more reliable, while the recommendations above offer concrete next steps for converting these in</w:t>
      </w:r>
      <w:r>
        <w:t>sights into commercial action.</w:t>
      </w:r>
    </w:p>
    <w:sectPr w:rsidR="00771F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0D39C9"/>
    <w:multiLevelType w:val="hybridMultilevel"/>
    <w:tmpl w:val="38B267E6"/>
    <w:lvl w:ilvl="0" w:tplc="58C6247C">
      <w:start w:val="1"/>
      <w:numFmt w:val="decimal"/>
      <w:lvlText w:val="%1."/>
      <w:lvlJc w:val="left"/>
      <w:pPr>
        <w:ind w:left="540" w:hanging="270"/>
      </w:pPr>
    </w:lvl>
    <w:lvl w:ilvl="1" w:tplc="146CC0A8">
      <w:numFmt w:val="decimal"/>
      <w:lvlText w:val=""/>
      <w:lvlJc w:val="left"/>
    </w:lvl>
    <w:lvl w:ilvl="2" w:tplc="8508EEE6">
      <w:numFmt w:val="decimal"/>
      <w:lvlText w:val=""/>
      <w:lvlJc w:val="left"/>
    </w:lvl>
    <w:lvl w:ilvl="3" w:tplc="94DC4E4E">
      <w:numFmt w:val="decimal"/>
      <w:lvlText w:val=""/>
      <w:lvlJc w:val="left"/>
    </w:lvl>
    <w:lvl w:ilvl="4" w:tplc="91FAA53E">
      <w:numFmt w:val="decimal"/>
      <w:lvlText w:val=""/>
      <w:lvlJc w:val="left"/>
    </w:lvl>
    <w:lvl w:ilvl="5" w:tplc="DAC68178">
      <w:numFmt w:val="decimal"/>
      <w:lvlText w:val=""/>
      <w:lvlJc w:val="left"/>
    </w:lvl>
    <w:lvl w:ilvl="6" w:tplc="63763916">
      <w:numFmt w:val="decimal"/>
      <w:lvlText w:val=""/>
      <w:lvlJc w:val="left"/>
    </w:lvl>
    <w:lvl w:ilvl="7" w:tplc="949A474A">
      <w:numFmt w:val="decimal"/>
      <w:lvlText w:val=""/>
      <w:lvlJc w:val="left"/>
    </w:lvl>
    <w:lvl w:ilvl="8" w:tplc="35B00CE4">
      <w:numFmt w:val="decimal"/>
      <w:lvlText w:val=""/>
      <w:lvlJc w:val="left"/>
    </w:lvl>
  </w:abstractNum>
  <w:abstractNum w:abstractNumId="1">
    <w:nsid w:val="61BA5718"/>
    <w:multiLevelType w:val="hybridMultilevel"/>
    <w:tmpl w:val="0E8EAEA0"/>
    <w:lvl w:ilvl="0" w:tplc="D9F4F42A">
      <w:start w:val="1"/>
      <w:numFmt w:val="bullet"/>
      <w:lvlText w:val="•"/>
      <w:lvlJc w:val="left"/>
      <w:pPr>
        <w:ind w:left="540" w:hanging="270"/>
      </w:pPr>
    </w:lvl>
    <w:lvl w:ilvl="1" w:tplc="6EA0880E">
      <w:numFmt w:val="decimal"/>
      <w:lvlText w:val=""/>
      <w:lvlJc w:val="left"/>
    </w:lvl>
    <w:lvl w:ilvl="2" w:tplc="061483F4">
      <w:numFmt w:val="decimal"/>
      <w:lvlText w:val=""/>
      <w:lvlJc w:val="left"/>
    </w:lvl>
    <w:lvl w:ilvl="3" w:tplc="A318600E">
      <w:numFmt w:val="decimal"/>
      <w:lvlText w:val=""/>
      <w:lvlJc w:val="left"/>
    </w:lvl>
    <w:lvl w:ilvl="4" w:tplc="73445120">
      <w:numFmt w:val="decimal"/>
      <w:lvlText w:val=""/>
      <w:lvlJc w:val="left"/>
    </w:lvl>
    <w:lvl w:ilvl="5" w:tplc="CE3C85C0">
      <w:numFmt w:val="decimal"/>
      <w:lvlText w:val=""/>
      <w:lvlJc w:val="left"/>
    </w:lvl>
    <w:lvl w:ilvl="6" w:tplc="9C2CB398">
      <w:numFmt w:val="decimal"/>
      <w:lvlText w:val=""/>
      <w:lvlJc w:val="left"/>
    </w:lvl>
    <w:lvl w:ilvl="7" w:tplc="7A5C8D6E">
      <w:numFmt w:val="decimal"/>
      <w:lvlText w:val=""/>
      <w:lvlJc w:val="left"/>
    </w:lvl>
    <w:lvl w:ilvl="8" w:tplc="47449048">
      <w:numFmt w:val="decimal"/>
      <w:lvlText w:val=""/>
      <w:lvlJc w:val="left"/>
    </w:lvl>
  </w:abstractNum>
  <w:abstractNum w:abstractNumId="2">
    <w:nsid w:val="63AE613E"/>
    <w:multiLevelType w:val="hybridMultilevel"/>
    <w:tmpl w:val="C0809BE2"/>
    <w:lvl w:ilvl="0" w:tplc="9818577C">
      <w:start w:val="1"/>
      <w:numFmt w:val="bullet"/>
      <w:lvlText w:val="●"/>
      <w:lvlJc w:val="left"/>
      <w:pPr>
        <w:ind w:left="720" w:hanging="360"/>
      </w:pPr>
    </w:lvl>
    <w:lvl w:ilvl="1" w:tplc="B7769A0A">
      <w:start w:val="1"/>
      <w:numFmt w:val="bullet"/>
      <w:lvlText w:val="○"/>
      <w:lvlJc w:val="left"/>
      <w:pPr>
        <w:ind w:left="1440" w:hanging="360"/>
      </w:pPr>
    </w:lvl>
    <w:lvl w:ilvl="2" w:tplc="FFBC99D6">
      <w:start w:val="1"/>
      <w:numFmt w:val="bullet"/>
      <w:lvlText w:val="■"/>
      <w:lvlJc w:val="left"/>
      <w:pPr>
        <w:ind w:left="2160" w:hanging="360"/>
      </w:pPr>
    </w:lvl>
    <w:lvl w:ilvl="3" w:tplc="49326A50">
      <w:start w:val="1"/>
      <w:numFmt w:val="bullet"/>
      <w:lvlText w:val="●"/>
      <w:lvlJc w:val="left"/>
      <w:pPr>
        <w:ind w:left="2880" w:hanging="360"/>
      </w:pPr>
    </w:lvl>
    <w:lvl w:ilvl="4" w:tplc="0FB88126">
      <w:start w:val="1"/>
      <w:numFmt w:val="bullet"/>
      <w:lvlText w:val="○"/>
      <w:lvlJc w:val="left"/>
      <w:pPr>
        <w:ind w:left="3600" w:hanging="360"/>
      </w:pPr>
    </w:lvl>
    <w:lvl w:ilvl="5" w:tplc="2834A6B8">
      <w:start w:val="1"/>
      <w:numFmt w:val="bullet"/>
      <w:lvlText w:val="■"/>
      <w:lvlJc w:val="left"/>
      <w:pPr>
        <w:ind w:left="4320" w:hanging="360"/>
      </w:pPr>
    </w:lvl>
    <w:lvl w:ilvl="6" w:tplc="8D5C91A6">
      <w:start w:val="1"/>
      <w:numFmt w:val="bullet"/>
      <w:lvlText w:val="●"/>
      <w:lvlJc w:val="left"/>
      <w:pPr>
        <w:ind w:left="5040" w:hanging="360"/>
      </w:pPr>
    </w:lvl>
    <w:lvl w:ilvl="7" w:tplc="32680FAE">
      <w:start w:val="1"/>
      <w:numFmt w:val="bullet"/>
      <w:lvlText w:val="●"/>
      <w:lvlJc w:val="left"/>
      <w:pPr>
        <w:ind w:left="5760" w:hanging="360"/>
      </w:pPr>
    </w:lvl>
    <w:lvl w:ilvl="8" w:tplc="E9A62D0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F23"/>
    <w:rsid w:val="00440688"/>
    <w:rsid w:val="00771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0D65CD-AB67-4E82-A340-249BB1C0D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D9E2F3"/>
      </w:pBdr>
      <w:spacing w:before="360" w:after="200"/>
      <w:outlineLvl w:val="0"/>
    </w:pPr>
    <w:rPr>
      <w:b/>
      <w:bCs/>
      <w:color w:val="1E2761"/>
      <w:sz w:val="30"/>
      <w:szCs w:val="30"/>
    </w:rPr>
  </w:style>
  <w:style w:type="paragraph" w:styleId="Heading2">
    <w:name w:val="heading 2"/>
    <w:qFormat/>
    <w:pPr>
      <w:spacing w:before="240" w:after="140"/>
      <w:outlineLvl w:val="1"/>
    </w:pPr>
    <w:rPr>
      <w:b/>
      <w:bCs/>
      <w:color w:val="1C7293"/>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2071</Words>
  <Characters>11811</Characters>
  <Application>Microsoft Office Word</Application>
  <DocSecurity>0</DocSecurity>
  <Lines>98</Lines>
  <Paragraphs>27</Paragraphs>
  <ScaleCrop>false</ScaleCrop>
  <Company/>
  <LinksUpToDate>false</LinksUpToDate>
  <CharactersWithSpaces>13855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waykarprathmesh65@gmail.com</cp:lastModifiedBy>
  <cp:revision>2</cp:revision>
  <dcterms:created xsi:type="dcterms:W3CDTF">2026-06-18T03:54:00Z</dcterms:created>
  <dcterms:modified xsi:type="dcterms:W3CDTF">2026-06-18T04:04:00Z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e1ca544e-aba5-4333-9bdf-2981e529b76d</vt:lpwstr>
  </property>
</Properties>
</file>