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b/>
          <w:bCs/>
          <w:color w:val="0A0F1E"/>
          <w:sz w:val="72"/>
          <w:szCs w:val="72"/>
          <w:rFonts w:ascii="Calibri" w:cs="Calibri" w:eastAsia="Calibri" w:hAnsi="Calibri"/>
        </w:rPr>
        <w:t xml:space="preserve">NOVASECT</w:t>
      </w:r>
    </w:p>
    <w:p>
      <w:pPr>
        <w:spacing w:before="0" w:after="200"/>
        <w:jc w:val="center"/>
      </w:pPr>
      <w:r>
        <w:rPr>
          <w:color w:val="475569"/>
          <w:sz w:val="40"/>
          <w:szCs w:val="40"/>
          <w:rFonts w:ascii="Calibri" w:cs="Calibri" w:eastAsia="Calibri" w:hAnsi="Calibri"/>
        </w:rPr>
        <w:t xml:space="preserve">Platform Technical Reference</w:t>
      </w:r>
    </w:p>
    <w:p>
      <w:pPr>
        <w:pBdr>
          <w:bottom w:val="single" w:color="38BDF8" w:sz="12" w:space="4"/>
        </w:pBdr>
        <w:spacing w:before="0" w:after="80"/>
        <w:jc w:val="center"/>
      </w:pPr>
      <w:r>
        <w:rPr>
          <w:sz w:val="24"/>
          <w:szCs w:val="24"/>
          <w:rFonts w:ascii="Calibri" w:cs="Calibri" w:eastAsia="Calibri" w:hAnsi="Calibri"/>
        </w:rPr>
        <w:t xml:space="preserve"> </w:t>
      </w:r>
    </w:p>
    <w:p>
      <w:pPr>
        <w:spacing w:before="80" w:after="80"/>
      </w:pPr>
      <w:r>
        <w:t xml:space="preserve"/>
      </w:r>
    </w:p>
    <w:p>
      <w:pPr>
        <w:spacing w:before="80" w:after="80"/>
        <w:jc w:val="center"/>
      </w:pPr>
      <w:r>
        <w:rPr>
          <w:i/>
          <w:iCs/>
          <w:color w:val="64748B"/>
          <w:sz w:val="24"/>
          <w:szCs w:val="24"/>
          <w:rFonts w:ascii="Calibri" w:cs="Calibri" w:eastAsia="Calibri" w:hAnsi="Calibri"/>
        </w:rPr>
        <w:t xml:space="preserve">Data Extraction · Processing Logic · Output Engines</w:t>
      </w:r>
    </w:p>
    <w:p>
      <w:pPr>
        <w:spacing w:before="80" w:after="80"/>
        <w:jc w:val="center"/>
      </w:pPr>
      <w:r>
        <w:rPr>
          <w:b/>
          <w:bCs/>
          <w:color w:val="1D4ED8"/>
          <w:sz w:val="28"/>
          <w:szCs w:val="28"/>
          <w:rFonts w:ascii="Calibri" w:cs="Calibri" w:eastAsia="Calibri" w:hAnsi="Calibri"/>
        </w:rPr>
        <w:t xml:space="preserve">FinVault  ·  Sentinel  ·  Osiris</w:t>
      </w:r>
    </w:p>
    <w:p>
      <w:pPr>
        <w:spacing w:before="80" w:after="80"/>
      </w:pPr>
      <w:r>
        <w:t xml:space="preserve"/>
      </w:r>
    </w:p>
    <w:p>
      <w:pPr>
        <w:spacing w:before="80" w:after="80"/>
      </w:pPr>
      <w:r>
        <w:t xml:space="preserve"/>
      </w:r>
    </w:p>
    <w:p>
      <w:pPr>
        <w:jc w:val="center"/>
      </w:pPr>
      <w:r>
        <w:rPr>
          <w:color w:val="94A3B8"/>
          <w:sz w:val="20"/>
          <w:szCs w:val="20"/>
          <w:rFonts w:ascii="Calibri" w:cs="Calibri" w:eastAsia="Calibri" w:hAnsi="Calibri"/>
        </w:rPr>
        <w:t xml:space="preserve">Version 1.0  ·  May 2026</w:t>
      </w:r>
    </w:p>
    <w:p>
      <w:pPr>
        <w:jc w:val="center"/>
      </w:pPr>
      <w:r>
        <w:rPr>
          <w:color w:val="38BDF8"/>
          <w:sz w:val="20"/>
          <w:szCs w:val="20"/>
          <w:rFonts w:ascii="Calibri" w:cs="Calibri" w:eastAsia="Calibri" w:hAnsi="Calibri"/>
        </w:rPr>
        <w:t xml:space="preserve">novasect.space</w:t>
      </w:r>
    </w:p>
    <w:p>
      <w:r>
        <w:br w:type="page"/>
      </w:r>
    </w:p>
    <w:p>
      <w:pPr>
        <w:pStyle w:val="Heading1"/>
        <w:shd w:fill="0A0F1E" w:color="0A0F1E" w:val="solid"/>
        <w:spacing w:before="480" w:after="200"/>
        <w:ind w:left="215" w:right="215"/>
      </w:pPr>
      <w:r>
        <w:rPr>
          <w:b/>
          <w:bCs/>
          <w:color w:val="FFFFFF"/>
          <w:sz w:val="32"/>
          <w:szCs w:val="32"/>
          <w:rFonts w:ascii="Calibri" w:cs="Calibri" w:eastAsia="Calibri" w:hAnsi="Calibri"/>
        </w:rPr>
        <w:t xml:space="preserve">PART I — FINVAULT</w:t>
      </w:r>
    </w:p>
    <w:p>
      <w:pPr>
        <w:spacing w:before="80" w:after="80" w:line="320"/>
      </w:pPr>
      <w:r>
        <w:rPr>
          <w:color w:val="1E293B"/>
          <w:sz w:val="20"/>
          <w:szCs w:val="20"/>
          <w:rFonts w:ascii="Calibri" w:cs="Calibri" w:eastAsia="Calibri" w:hAnsi="Calibri"/>
        </w:rPr>
        <w:t xml:space="preserve">FinVault is the equity research layer of the platform. It renders structured deep-dive reports on individual companies covering financial health, capital structure, and sector-specific operating metrics. Reports are pre-generated documents stored as static assets and are not computed in real time on the client.</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1.1  Report Generation Pipeline  (generate-report.mjs)</w:t>
      </w:r>
    </w:p>
    <w:p>
      <w:pPr>
        <w:spacing w:before="80" w:after="80" w:line="320"/>
      </w:pPr>
      <w:r>
        <w:rPr>
          <w:color w:val="1E293B"/>
          <w:sz w:val="20"/>
          <w:szCs w:val="20"/>
          <w:rFonts w:ascii="Calibri" w:cs="Calibri" w:eastAsia="Calibri" w:hAnsi="Calibri"/>
        </w:rPr>
        <w:t xml:space="preserve">Reports are produced offline via a Node.js pipeline that chains SEC EDGAR, XBRL, and the Claude API across eight sequential steps.</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Step 1 — CIK Resolution</w:t>
      </w:r>
    </w:p>
    <w:p>
      <w:pPr>
        <w:spacing w:before="80" w:after="80" w:line="320"/>
      </w:pPr>
      <w:r>
        <w:rPr>
          <w:color w:val="1E293B"/>
          <w:sz w:val="20"/>
          <w:szCs w:val="20"/>
          <w:rFonts w:ascii="Calibri" w:cs="Calibri" w:eastAsia="Calibri" w:hAnsi="Calibri"/>
        </w:rPr>
        <w:t xml:space="preserve">The pipeline fetches the SEC company_tickers.json index and maps the input ticker string to a Central Index Key (CIK). This is required for all subsequent EDGAR queries.</w:t>
      </w:r>
    </w:p>
    <w:p>
      <w:pPr>
        <w:pStyle w:val="Heading3"/>
        <w:spacing w:before="280" w:after="120"/>
      </w:pPr>
      <w:r>
        <w:rPr>
          <w:b/>
          <w:bCs/>
          <w:color w:val="1D4ED8"/>
          <w:sz w:val="22"/>
          <w:szCs w:val="22"/>
          <w:rFonts w:ascii="Calibri" w:cs="Calibri" w:eastAsia="Calibri" w:hAnsi="Calibri"/>
        </w:rPr>
        <w:t xml:space="preserve">Step 2 — 10-K Filing Retrieval</w:t>
      </w:r>
    </w:p>
    <w:p>
      <w:pPr>
        <w:spacing w:before="80" w:after="80" w:line="320"/>
      </w:pPr>
      <w:r>
        <w:rPr>
          <w:color w:val="1E293B"/>
          <w:sz w:val="20"/>
          <w:szCs w:val="20"/>
          <w:rFonts w:ascii="Calibri" w:cs="Calibri" w:eastAsia="Calibri" w:hAnsi="Calibri"/>
        </w:rPr>
        <w:t xml:space="preserve">Using the CIK, the pipeline queries EDGAR's submissions endpoint to locate the most recent 10-K annual filing. It extracts the accession number, filing date, and reporting period.</w:t>
      </w:r>
    </w:p>
    <w:p>
      <w:pPr>
        <w:pStyle w:val="Heading3"/>
        <w:spacing w:before="280" w:after="120"/>
      </w:pPr>
      <w:r>
        <w:rPr>
          <w:b/>
          <w:bCs/>
          <w:color w:val="1D4ED8"/>
          <w:sz w:val="22"/>
          <w:szCs w:val="22"/>
          <w:rFonts w:ascii="Calibri" w:cs="Calibri" w:eastAsia="Calibri" w:hAnsi="Calibri"/>
        </w:rPr>
        <w:t xml:space="preserve">Step 3 — 10-K Text Extraction</w:t>
      </w:r>
    </w:p>
    <w:p>
      <w:pPr>
        <w:spacing w:before="80" w:after="80" w:line="320"/>
      </w:pPr>
      <w:r>
        <w:rPr>
          <w:color w:val="1E293B"/>
          <w:sz w:val="20"/>
          <w:szCs w:val="20"/>
          <w:rFonts w:ascii="Calibri" w:cs="Calibri" w:eastAsia="Calibri" w:hAnsi="Calibri"/>
        </w:rPr>
        <w:t xml:space="preserve">Three sections are extracted from the 10-K filing, each capped at 35,000 characters:</w:t>
      </w:r>
    </w:p>
    <w:p>
      <w:pPr>
        <w:pStyle w:val="ListParagraph"/>
        <w:numPr>
          <w:ilvl w:val="0"/>
          <w:numId w:val="1"/>
        </w:numPr>
        <w:spacing w:before="40" w:after="40" w:line="300"/>
        <w:ind w:left="360"/>
      </w:pPr>
      <w:r>
        <w:rPr>
          <w:color w:val="1E293B"/>
          <w:sz w:val="20"/>
          <w:szCs w:val="20"/>
          <w:rFonts w:ascii="Calibri" w:cs="Calibri" w:eastAsia="Calibri" w:hAnsi="Calibri"/>
        </w:rPr>
        <w:t xml:space="preserve">Item 1 — Business description</w:t>
      </w:r>
    </w:p>
    <w:p>
      <w:pPr>
        <w:pStyle w:val="ListParagraph"/>
        <w:numPr>
          <w:ilvl w:val="0"/>
          <w:numId w:val="1"/>
        </w:numPr>
        <w:spacing w:before="40" w:after="40" w:line="300"/>
        <w:ind w:left="360"/>
      </w:pPr>
      <w:r>
        <w:rPr>
          <w:color w:val="1E293B"/>
          <w:sz w:val="20"/>
          <w:szCs w:val="20"/>
          <w:rFonts w:ascii="Calibri" w:cs="Calibri" w:eastAsia="Calibri" w:hAnsi="Calibri"/>
        </w:rPr>
        <w:t xml:space="preserve">Item 1A — Risk factors</w:t>
      </w:r>
    </w:p>
    <w:p>
      <w:pPr>
        <w:pStyle w:val="ListParagraph"/>
        <w:numPr>
          <w:ilvl w:val="0"/>
          <w:numId w:val="1"/>
        </w:numPr>
        <w:spacing w:before="40" w:after="40" w:line="300"/>
        <w:ind w:left="360"/>
      </w:pPr>
      <w:r>
        <w:rPr>
          <w:color w:val="1E293B"/>
          <w:sz w:val="20"/>
          <w:szCs w:val="20"/>
          <w:rFonts w:ascii="Calibri" w:cs="Calibri" w:eastAsia="Calibri" w:hAnsi="Calibri"/>
        </w:rPr>
        <w:t xml:space="preserve">Item 7 — Management Discussion &amp; Analysis</w:t>
      </w:r>
    </w:p>
    <w:p>
      <w:pPr>
        <w:pStyle w:val="Heading3"/>
        <w:spacing w:before="280" w:after="120"/>
      </w:pPr>
      <w:r>
        <w:rPr>
          <w:b/>
          <w:bCs/>
          <w:color w:val="1D4ED8"/>
          <w:sz w:val="22"/>
          <w:szCs w:val="22"/>
          <w:rFonts w:ascii="Calibri" w:cs="Calibri" w:eastAsia="Calibri" w:hAnsi="Calibri"/>
        </w:rPr>
        <w:t xml:space="preserve">Step 4 — XBRL Financial Data (fetchXBRL2)</w:t>
      </w:r>
    </w:p>
    <w:p>
      <w:pPr>
        <w:spacing w:before="80" w:after="80" w:line="320"/>
      </w:pPr>
      <w:r>
        <w:rPr>
          <w:color w:val="1E293B"/>
          <w:sz w:val="20"/>
          <w:szCs w:val="20"/>
          <w:rFonts w:ascii="Calibri" w:cs="Calibri" w:eastAsia="Calibri" w:hAnsi="Calibri"/>
        </w:rPr>
        <w:t xml:space="preserve">Two years of structured financial data are fetched from the XBRL inline viewer. Each line item is resolved against a primary GAAP concept name plus a list of fallback synonyms to handle variations in company reporting taxonomy. Approximately 30 GAAP concepts are mapped this way.</w:t>
      </w:r>
    </w:p>
    <w:p>
      <w:pPr>
        <w:spacing w:before="80" w:after="80"/>
      </w:pPr>
      <w:r>
        <w:t xml:space="preserve"/>
      </w:r>
    </w:p>
    <w:p>
      <w:pPr>
        <w:spacing w:before="80" w:after="80" w:line="320"/>
      </w:pPr>
      <w:r>
        <w:rPr>
          <w:b/>
          <w:bCs/>
          <w:color w:val="1E293B"/>
          <w:sz w:val="20"/>
          <w:szCs w:val="20"/>
          <w:rFonts w:ascii="Calibri" w:cs="Calibri" w:eastAsia="Calibri" w:hAnsi="Calibri"/>
        </w:rPr>
        <w:t xml:space="preserve">Example fallback chains:</w:t>
      </w:r>
    </w:p>
    <w:p>
      <w:pPr>
        <w:pStyle w:val="ListParagraph"/>
        <w:numPr>
          <w:ilvl w:val="0"/>
          <w:numId w:val="1"/>
        </w:numPr>
        <w:spacing w:before="40" w:after="40" w:line="300"/>
        <w:ind w:left="360"/>
      </w:pPr>
      <w:r>
        <w:rPr>
          <w:color w:val="1E293B"/>
          <w:sz w:val="20"/>
          <w:szCs w:val="20"/>
          <w:rFonts w:ascii="Calibri" w:cs="Calibri" w:eastAsia="Calibri" w:hAnsi="Calibri"/>
        </w:rPr>
        <w:t xml:space="preserve">Revenue: Revenues → RevenueFromContractWithCustomerExcludingAssessedTax → SalesRevenueNet</w:t>
      </w:r>
    </w:p>
    <w:p>
      <w:pPr>
        <w:pStyle w:val="ListParagraph"/>
        <w:numPr>
          <w:ilvl w:val="0"/>
          <w:numId w:val="1"/>
        </w:numPr>
        <w:spacing w:before="40" w:after="40" w:line="300"/>
        <w:ind w:left="360"/>
      </w:pPr>
      <w:r>
        <w:rPr>
          <w:color w:val="1E293B"/>
          <w:sz w:val="20"/>
          <w:szCs w:val="20"/>
          <w:rFonts w:ascii="Calibri" w:cs="Calibri" w:eastAsia="Calibri" w:hAnsi="Calibri"/>
        </w:rPr>
        <w:t xml:space="preserve">Operating Income: OperatingIncomeLoss → IncomeLossFromContinuingOperationsBeforeIncomeTaxes</w:t>
      </w:r>
    </w:p>
    <w:p>
      <w:pPr>
        <w:pStyle w:val="Heading3"/>
        <w:spacing w:before="280" w:after="120"/>
      </w:pPr>
      <w:r>
        <w:rPr>
          <w:b/>
          <w:bCs/>
          <w:color w:val="1D4ED8"/>
          <w:sz w:val="22"/>
          <w:szCs w:val="22"/>
          <w:rFonts w:ascii="Calibri" w:cs="Calibri" w:eastAsia="Calibri" w:hAnsi="Calibri"/>
        </w:rPr>
        <w:t xml:space="preserve">Step 5 — Ratio Computation</w:t>
      </w:r>
    </w:p>
    <w:p>
      <w:pPr>
        <w:spacing w:before="80" w:after="80" w:line="320"/>
      </w:pPr>
      <w:r>
        <w:rPr>
          <w:color w:val="1E293B"/>
          <w:sz w:val="20"/>
          <w:szCs w:val="20"/>
          <w:rFonts w:ascii="Calibri" w:cs="Calibri" w:eastAsia="Calibri" w:hAnsi="Calibri"/>
        </w:rPr>
        <w:t xml:space="preserve">The following ratios are computed from the resolved XBRL values:</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32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Ratio</w:t>
            </w:r>
          </w:p>
        </w:tc>
        <w:tc>
          <w:tcPr>
            <w:tcW w:type="dxa" w:w="598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Formula</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EBITDA</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OperatingIncome + Depreciation</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Net Debt</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TotalDebt − Cash</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Current Ratio</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CurrentAssets / CurrentLiabilities</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Quick Ratio</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(CurrentAssets − Inventory) / CurrentLiabilities</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Debt-to-Equity</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TotalDebt / Equity</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Net Leverage</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NetDebt / EBITDA</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Interest Coverage</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EBITDA / InterestExpense</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Operating Margin</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OperatingIncome / Revenue</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Net Margin</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NetIncome / Revenue</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ROA</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NetIncome / TotalAssets</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ROE</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NetIncome / Equity</w:t>
            </w:r>
          </w:p>
        </w:tc>
      </w:tr>
    </w:tbl>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Step 6 — Markdown Table Construction</w:t>
      </w:r>
    </w:p>
    <w:p>
      <w:pPr>
        <w:spacing w:before="80" w:after="80" w:line="320"/>
      </w:pPr>
      <w:r>
        <w:rPr>
          <w:color w:val="1E293B"/>
          <w:sz w:val="20"/>
          <w:szCs w:val="20"/>
          <w:rFonts w:ascii="Calibri" w:cs="Calibri" w:eastAsia="Calibri" w:hAnsi="Calibri"/>
        </w:rPr>
        <w:t xml:space="preserve">The computed values are structured into six Markdown tables passed to the language model: Income Statement, Balance Sheet, Cash Flow, Liquidity, Solvency, and Profitability.</w:t>
      </w:r>
    </w:p>
    <w:p>
      <w:pPr>
        <w:pStyle w:val="Heading3"/>
        <w:spacing w:before="280" w:after="120"/>
      </w:pPr>
      <w:r>
        <w:rPr>
          <w:b/>
          <w:bCs/>
          <w:color w:val="1D4ED8"/>
          <w:sz w:val="22"/>
          <w:szCs w:val="22"/>
          <w:rFonts w:ascii="Calibri" w:cs="Calibri" w:eastAsia="Calibri" w:hAnsi="Calibri"/>
        </w:rPr>
        <w:t xml:space="preserve">Step 7 — Claude API Report Generation</w:t>
      </w:r>
    </w:p>
    <w:p>
      <w:pPr>
        <w:spacing w:before="80" w:after="80" w:line="320"/>
      </w:pPr>
      <w:r>
        <w:rPr>
          <w:color w:val="1E293B"/>
          <w:sz w:val="20"/>
          <w:szCs w:val="20"/>
          <w:rFonts w:ascii="Calibri" w:cs="Calibri" w:eastAsia="Calibri" w:hAnsi="Calibri"/>
        </w:rPr>
        <w:t xml:space="preserve">The pipeline calls the Claude API with a structured system prompt defining the analytical framework (forensic accounting lens, sector-specific KPIs, capital structure critique) and a user message containing the 10-K text extracts plus the six financial tables. The model returns a full-length Markdown report draft.</w:t>
      </w:r>
    </w:p>
    <w:p>
      <w:pPr>
        <w:pStyle w:val="Heading3"/>
        <w:spacing w:before="280" w:after="120"/>
      </w:pPr>
      <w:r>
        <w:rPr>
          <w:b/>
          <w:bCs/>
          <w:color w:val="1D4ED8"/>
          <w:sz w:val="22"/>
          <w:szCs w:val="22"/>
          <w:rFonts w:ascii="Calibri" w:cs="Calibri" w:eastAsia="Calibri" w:hAnsi="Calibri"/>
        </w:rPr>
        <w:t xml:space="preserve">Step 8 — DOCX Output</w:t>
      </w:r>
    </w:p>
    <w:p>
      <w:pPr>
        <w:spacing w:before="80" w:after="80" w:line="320"/>
      </w:pPr>
      <w:r>
        <w:rPr>
          <w:color w:val="1E293B"/>
          <w:sz w:val="20"/>
          <w:szCs w:val="20"/>
          <w:rFonts w:ascii="Calibri" w:cs="Calibri" w:eastAsia="Calibri" w:hAnsi="Calibri"/>
        </w:rPr>
        <w:t xml:space="preserve">The Markdown draft is converted to a .docx file. The output is stamped with the company name, ticker, and report date.</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1.2  Static Data Layer  (data/universe.json)</w:t>
      </w:r>
    </w:p>
    <w:p>
      <w:pPr>
        <w:spacing w:before="80" w:after="80" w:line="320"/>
      </w:pPr>
      <w:r>
        <w:rPr>
          <w:color w:val="1E293B"/>
          <w:sz w:val="20"/>
          <w:szCs w:val="20"/>
          <w:rFonts w:ascii="Calibri" w:cs="Calibri" w:eastAsia="Calibri" w:hAnsi="Calibri"/>
        </w:rPr>
        <w:t xml:space="preserve">Each covered company has a structured entry in universe.json. The stats field is a positional 15-element array rendered directly into the report display:</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18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Index</w:t>
            </w:r>
          </w:p>
        </w:tc>
        <w:tc>
          <w:tcPr>
            <w:tcW w:type="dxa" w:w="73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Metric</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0</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Current Ratio</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Quick Ratio</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2</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Cash Ratio</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3</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Debt-to-Equity</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4</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Net Leverage</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5</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Dividend Yield</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6</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Trailing P/E (formatted as "Xx")</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7</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EV/EBITDA</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8</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Forward P/E</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9</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P/FCF</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10</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P/B</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11</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Operating Margin</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12</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Net Margin</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13</w:t>
            </w:r>
          </w:p>
        </w:tc>
        <w:tc>
          <w:tcPr>
            <w:tcW w:type="dxa" w:w="73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ROA</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14</w:t>
            </w:r>
          </w:p>
        </w:tc>
        <w:tc>
          <w:tcPr>
            <w:tcW w:type="dxa" w:w="7360"/>
            <w:tcMar>
              <w:top w:type="dxa" w:w="80"/>
              <w:left w:type="dxa" w:w="120"/>
              <w:bottom w:type="dxa" w:w="80"/>
              <w:right w:type="dxa" w:w="120"/>
            </w:tcMar>
          </w:tcPr>
          <w:p>
            <w:r>
              <w:rPr>
                <w:color w:val="1E293B"/>
                <w:sz w:val="18"/>
                <w:szCs w:val="18"/>
                <w:rFonts w:ascii="Calibri" w:cs="Calibri" w:eastAsia="Calibri" w:hAnsi="Calibri"/>
              </w:rPr>
              <w:t xml:space="preserve">ROE</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1.3  Coverage Scan  (scan-brief-coverage.js)</w:t>
      </w:r>
    </w:p>
    <w:p>
      <w:pPr>
        <w:spacing w:before="80" w:after="80" w:line="320"/>
      </w:pPr>
      <w:r>
        <w:rPr>
          <w:color w:val="1E293B"/>
          <w:sz w:val="20"/>
          <w:szCs w:val="20"/>
          <w:rFonts w:ascii="Calibri" w:cs="Calibri" w:eastAsia="Calibri" w:hAnsi="Calibri"/>
        </w:rPr>
        <w:t xml:space="preserve">A maintenance script that probes each ticker in universe.json against the Finnhub /stock/metric endpoint and reports field presence for: Trailing P/E, Forward P/E, EV/EBITDA, P/B, 5-Year Revenue Growth, 5-Year EPS Growth, and Operating Margin. Used to validate data completeness before publishing.</w:t>
      </w:r>
    </w:p>
    <w:p>
      <w:r>
        <w:br w:type="page"/>
      </w:r>
    </w:p>
    <w:p>
      <w:pPr>
        <w:pStyle w:val="Heading1"/>
        <w:shd w:fill="0A0F1E" w:color="0A0F1E" w:val="solid"/>
        <w:spacing w:before="480" w:after="200"/>
        <w:ind w:left="215" w:right="215"/>
      </w:pPr>
      <w:r>
        <w:rPr>
          <w:b/>
          <w:bCs/>
          <w:color w:val="FFFFFF"/>
          <w:sz w:val="32"/>
          <w:szCs w:val="32"/>
          <w:rFonts w:ascii="Calibri" w:cs="Calibri" w:eastAsia="Calibri" w:hAnsi="Calibri"/>
        </w:rPr>
        <w:t xml:space="preserve">PART II — SENTINEL</w:t>
      </w:r>
    </w:p>
    <w:p>
      <w:pPr>
        <w:spacing w:before="80" w:after="80" w:line="320"/>
      </w:pPr>
      <w:r>
        <w:rPr>
          <w:color w:val="1E293B"/>
          <w:sz w:val="20"/>
          <w:szCs w:val="20"/>
          <w:rFonts w:ascii="Calibri" w:cs="Calibri" w:eastAsia="Calibri" w:hAnsi="Calibri"/>
        </w:rPr>
        <w:t xml:space="preserve">Sentinel is a real-time credit intelligence monitor. It calculates synthetic credit spreads and implied yields for each covered company, surfacing credit stress signals that do not appear in standard equity metrics. All computation runs client-side in the browser using live data fetched from FRED and Alpha Vantage via Vercel API proxy routes.</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2.1  Company Registry</w:t>
      </w:r>
    </w:p>
    <w:p>
      <w:pPr>
        <w:spacing w:before="80" w:after="80" w:line="320"/>
      </w:pPr>
      <w:r>
        <w:rPr>
          <w:color w:val="1E293B"/>
          <w:sz w:val="20"/>
          <w:szCs w:val="20"/>
          <w:rFonts w:ascii="Calibri" w:cs="Calibri" w:eastAsia="Calibri" w:hAnsi="Calibri"/>
        </w:rPr>
        <w:t xml:space="preserve">The COMPANIES array in sentinel.v2.js holds 83 entries. Each entry carries: ticker, name, sector, credit type (IG/HY), rating, region, country, base_rate_type (UST/BUND/GILT), baseSpread (bps), marketBeta, sectorBeta, residual, lastVerified, netLeverage, and interestCoverage.</w:t>
      </w:r>
    </w:p>
    <w:p>
      <w:pPr>
        <w:spacing w:before="80" w:after="80" w:line="320"/>
      </w:pPr>
      <w:r>
        <w:rPr>
          <w:color w:val="1E293B"/>
          <w:sz w:val="20"/>
          <w:szCs w:val="20"/>
          <w:rFonts w:ascii="Calibri" w:cs="Calibri" w:eastAsia="Calibri" w:hAnsi="Calibri"/>
        </w:rPr>
        <w:t xml:space="preserve">baseSpread is the hand-calibrated anchor spread for the company under neutral macro conditions, updated quarterly.</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2.2  External Data Sources</w:t>
      </w:r>
    </w:p>
    <w:p>
      <w:pPr>
        <w:pStyle w:val="Heading3"/>
        <w:spacing w:before="280" w:after="120"/>
      </w:pPr>
      <w:r>
        <w:rPr>
          <w:b/>
          <w:bCs/>
          <w:color w:val="1D4ED8"/>
          <w:sz w:val="22"/>
          <w:szCs w:val="22"/>
          <w:rFonts w:ascii="Calibri" w:cs="Calibri" w:eastAsia="Calibri" w:hAnsi="Calibri"/>
        </w:rPr>
        <w:t xml:space="preserve">FRED Series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7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Series ID</w:t>
            </w:r>
          </w:p>
        </w:tc>
        <w:tc>
          <w:tcPr>
            <w:tcW w:type="dxa" w:w="368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Description</w:t>
            </w:r>
          </w:p>
        </w:tc>
        <w:tc>
          <w:tcPr>
            <w:tcW w:type="dxa" w:w="27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Used For</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DGS10</w:t>
            </w:r>
          </w:p>
        </w:tc>
        <w:tc>
          <w:tcPr>
            <w:tcW w:type="dxa" w:w="3680"/>
            <w:tcMar>
              <w:top w:type="dxa" w:w="80"/>
              <w:left w:type="dxa" w:w="120"/>
              <w:bottom w:type="dxa" w:w="80"/>
              <w:right w:type="dxa" w:w="120"/>
            </w:tcMar>
          </w:tcPr>
          <w:p>
            <w:r>
              <w:rPr>
                <w:color w:val="1E293B"/>
                <w:sz w:val="18"/>
                <w:szCs w:val="18"/>
                <w:rFonts w:ascii="Calibri" w:cs="Calibri" w:eastAsia="Calibri" w:hAnsi="Calibri"/>
              </w:rPr>
              <w:t xml:space="preserve">US 10-Year Treasury</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UST base rate</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IRLTLT01DEM156N</w:t>
            </w:r>
          </w:p>
        </w:tc>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German Bund 10Y</w:t>
            </w:r>
          </w:p>
        </w:tc>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BUND base rate</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IRLTLT01GBM156N</w:t>
            </w:r>
          </w:p>
        </w:tc>
        <w:tc>
          <w:tcPr>
            <w:tcW w:type="dxa" w:w="3680"/>
            <w:tcMar>
              <w:top w:type="dxa" w:w="80"/>
              <w:left w:type="dxa" w:w="120"/>
              <w:bottom w:type="dxa" w:w="80"/>
              <w:right w:type="dxa" w:w="120"/>
            </w:tcMar>
          </w:tcPr>
          <w:p>
            <w:r>
              <w:rPr>
                <w:color w:val="1E293B"/>
                <w:sz w:val="18"/>
                <w:szCs w:val="18"/>
                <w:rFonts w:ascii="Calibri" w:cs="Calibri" w:eastAsia="Calibri" w:hAnsi="Calibri"/>
              </w:rPr>
              <w:t xml:space="preserve">UK Gilt 10Y</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GILT base rate</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BAMLC0A1CAAA</w:t>
            </w:r>
          </w:p>
        </w:tc>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ICE BofA AAA OAS</w:t>
            </w:r>
          </w:p>
        </w:tc>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Rating index floor</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BAMLC0A2CAA</w:t>
            </w:r>
          </w:p>
        </w:tc>
        <w:tc>
          <w:tcPr>
            <w:tcW w:type="dxa" w:w="3680"/>
            <w:tcMar>
              <w:top w:type="dxa" w:w="80"/>
              <w:left w:type="dxa" w:w="120"/>
              <w:bottom w:type="dxa" w:w="80"/>
              <w:right w:type="dxa" w:w="120"/>
            </w:tcMar>
          </w:tcPr>
          <w:p>
            <w:r>
              <w:rPr>
                <w:color w:val="1E293B"/>
                <w:sz w:val="18"/>
                <w:szCs w:val="18"/>
                <w:rFonts w:ascii="Calibri" w:cs="Calibri" w:eastAsia="Calibri" w:hAnsi="Calibri"/>
              </w:rPr>
              <w:t xml:space="preserve">ICE BofA AA OAS</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Rating index floor</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BAMLC0A3CA</w:t>
            </w:r>
          </w:p>
        </w:tc>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ICE BofA A OAS</w:t>
            </w:r>
          </w:p>
        </w:tc>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Rating index floor</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BAMLC0A4CBBB</w:t>
            </w:r>
          </w:p>
        </w:tc>
        <w:tc>
          <w:tcPr>
            <w:tcW w:type="dxa" w:w="3680"/>
            <w:tcMar>
              <w:top w:type="dxa" w:w="80"/>
              <w:left w:type="dxa" w:w="120"/>
              <w:bottom w:type="dxa" w:w="80"/>
              <w:right w:type="dxa" w:w="120"/>
            </w:tcMar>
          </w:tcPr>
          <w:p>
            <w:r>
              <w:rPr>
                <w:color w:val="1E293B"/>
                <w:sz w:val="18"/>
                <w:szCs w:val="18"/>
                <w:rFonts w:ascii="Calibri" w:cs="Calibri" w:eastAsia="Calibri" w:hAnsi="Calibri"/>
              </w:rPr>
              <w:t xml:space="preserve">ICE BofA BBB OAS</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Rating index floor</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BAMLH0A0HYM2</w:t>
            </w:r>
          </w:p>
        </w:tc>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ICE BofA HY OAS</w:t>
            </w:r>
          </w:p>
        </w:tc>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Rating index floor</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VIXCLS</w:t>
            </w:r>
          </w:p>
        </w:tc>
        <w:tc>
          <w:tcPr>
            <w:tcW w:type="dxa" w:w="3680"/>
            <w:tcMar>
              <w:top w:type="dxa" w:w="80"/>
              <w:left w:type="dxa" w:w="120"/>
              <w:bottom w:type="dxa" w:w="80"/>
              <w:right w:type="dxa" w:w="120"/>
            </w:tcMar>
          </w:tcPr>
          <w:p>
            <w:r>
              <w:rPr>
                <w:color w:val="1E293B"/>
                <w:sz w:val="18"/>
                <w:szCs w:val="18"/>
                <w:rFonts w:ascii="Calibri" w:cs="Calibri" w:eastAsia="Calibri" w:hAnsi="Calibri"/>
              </w:rPr>
              <w:t xml:space="preserve">CBOE VIX Index</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Stress regime detection</w:t>
            </w:r>
          </w:p>
        </w:tc>
      </w:tr>
    </w:tbl>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Alpha Vantage Sector ETF Volatilities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138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ETF</w:t>
            </w:r>
          </w:p>
        </w:tc>
        <w:tc>
          <w:tcPr>
            <w:tcW w:type="dxa" w:w="46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Sector</w:t>
            </w:r>
          </w:p>
        </w:tc>
        <w:tc>
          <w:tcPr>
            <w:tcW w:type="dxa" w:w="32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Fallback Value</w:t>
            </w:r>
          </w:p>
        </w:tc>
      </w:tr>
      <w:tr>
        <w:tc>
          <w:tcPr>
            <w:tcW w:type="dxa" w:w="1380"/>
            <w:tcMar>
              <w:top w:type="dxa" w:w="80"/>
              <w:left w:type="dxa" w:w="120"/>
              <w:bottom w:type="dxa" w:w="80"/>
              <w:right w:type="dxa" w:w="120"/>
            </w:tcMar>
          </w:tcPr>
          <w:p>
            <w:r>
              <w:rPr>
                <w:color w:val="1E293B"/>
                <w:sz w:val="18"/>
                <w:szCs w:val="18"/>
                <w:rFonts w:ascii="Calibri" w:cs="Calibri" w:eastAsia="Calibri" w:hAnsi="Calibri"/>
              </w:rPr>
              <w:t xml:space="preserve">XLE</w:t>
            </w:r>
          </w:p>
        </w:tc>
        <w:tc>
          <w:tcPr>
            <w:tcW w:type="dxa" w:w="4600"/>
            <w:tcMar>
              <w:top w:type="dxa" w:w="80"/>
              <w:left w:type="dxa" w:w="120"/>
              <w:bottom w:type="dxa" w:w="80"/>
              <w:right w:type="dxa" w:w="120"/>
            </w:tcMar>
          </w:tcPr>
          <w:p>
            <w:r>
              <w:rPr>
                <w:color w:val="1E293B"/>
                <w:sz w:val="18"/>
                <w:szCs w:val="18"/>
                <w:rFonts w:ascii="Calibri" w:cs="Calibri" w:eastAsia="Calibri" w:hAnsi="Calibri"/>
              </w:rPr>
              <w:t xml:space="preserve">Energy</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25.5%</w:t>
            </w:r>
          </w:p>
        </w:tc>
      </w:tr>
      <w:tr>
        <w:tc>
          <w:tcPr>
            <w:tcW w:type="dxa" w:w="13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XLU</w:t>
            </w:r>
          </w:p>
        </w:tc>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Utilities</w:t>
            </w:r>
          </w:p>
        </w:tc>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18.2%</w:t>
            </w:r>
          </w:p>
        </w:tc>
      </w:tr>
      <w:tr>
        <w:tc>
          <w:tcPr>
            <w:tcW w:type="dxa" w:w="1380"/>
            <w:tcMar>
              <w:top w:type="dxa" w:w="80"/>
              <w:left w:type="dxa" w:w="120"/>
              <w:bottom w:type="dxa" w:w="80"/>
              <w:right w:type="dxa" w:w="120"/>
            </w:tcMar>
          </w:tcPr>
          <w:p>
            <w:r>
              <w:rPr>
                <w:color w:val="1E293B"/>
                <w:sz w:val="18"/>
                <w:szCs w:val="18"/>
                <w:rFonts w:ascii="Calibri" w:cs="Calibri" w:eastAsia="Calibri" w:hAnsi="Calibri"/>
              </w:rPr>
              <w:t xml:space="preserve">XLI</w:t>
            </w:r>
          </w:p>
        </w:tc>
        <w:tc>
          <w:tcPr>
            <w:tcW w:type="dxa" w:w="4600"/>
            <w:tcMar>
              <w:top w:type="dxa" w:w="80"/>
              <w:left w:type="dxa" w:w="120"/>
              <w:bottom w:type="dxa" w:w="80"/>
              <w:right w:type="dxa" w:w="120"/>
            </w:tcMar>
          </w:tcPr>
          <w:p>
            <w:r>
              <w:rPr>
                <w:color w:val="1E293B"/>
                <w:sz w:val="18"/>
                <w:szCs w:val="18"/>
                <w:rFonts w:ascii="Calibri" w:cs="Calibri" w:eastAsia="Calibri" w:hAnsi="Calibri"/>
              </w:rPr>
              <w:t xml:space="preserve">Industrials</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22.1%</w:t>
            </w:r>
          </w:p>
        </w:tc>
      </w:tr>
    </w:tbl>
    <w:p>
      <w:pPr>
        <w:spacing w:before="80" w:after="80" w:line="320"/>
      </w:pPr>
      <w:r>
        <w:rPr>
          <w:color w:val="1E293B"/>
          <w:sz w:val="20"/>
          <w:szCs w:val="20"/>
          <w:rFonts w:ascii="Calibri" w:cs="Calibri" w:eastAsia="Calibri" w:hAnsi="Calibri"/>
        </w:rPr>
        <w:t xml:space="preserve">Sector volatility is computed as 30-day annualized realized volatility: stdDev(logReturns) × √252. Cached 12 hours. Fallback mocks activate if the API is unavailable.</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2.3  Spread Calculation Engine</w:t>
      </w:r>
    </w:p>
    <w:p>
      <w:pPr>
        <w:spacing w:before="80" w:after="80" w:line="320"/>
      </w:pPr>
      <w:r>
        <w:rPr>
          <w:color w:val="1E293B"/>
          <w:sz w:val="20"/>
          <w:szCs w:val="20"/>
          <w:rFonts w:ascii="Calibri" w:cs="Calibri" w:eastAsia="Calibri" w:hAnsi="Calibri"/>
        </w:rPr>
        <w:t xml:space="preserve">The spread is assembled from three named legs. The sensitivity factor governs how strongly each company reacts to volatility: 0.35 for IG, 1.0 for HY.</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Leg 1 — Macro Anchor</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macroAnchor = max(baseSpread, ratingIndexBps)</w:t>
      </w:r>
    </w:p>
    <w:p>
      <w:pPr>
        <w:spacing w:before="80" w:after="80" w:line="320"/>
      </w:pPr>
      <w:r>
        <w:rPr>
          <w:color w:val="1E293B"/>
          <w:sz w:val="20"/>
          <w:szCs w:val="20"/>
          <w:rFonts w:ascii="Calibri" w:cs="Calibri" w:eastAsia="Calibri" w:hAnsi="Calibri"/>
        </w:rPr>
        <w:t xml:space="preserve">ratingIndexBps is the live ICE BofA OAS index for the company's credit rating category. This floors the spread at the broader market level for that rating cohort, preventing spreads tighter than the index average during stress.</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Leg A — VIX Beta-Shift</w:t>
      </w:r>
    </w:p>
    <w:p>
      <w:pPr>
        <w:spacing w:before="80" w:after="80" w:line="320"/>
      </w:pPr>
      <w:r>
        <w:rPr>
          <w:color w:val="1E293B"/>
          <w:sz w:val="20"/>
          <w:szCs w:val="20"/>
          <w:rFonts w:ascii="Calibri" w:cs="Calibri" w:eastAsia="Calibri" w:hAnsi="Calibri"/>
        </w:rPr>
        <w:t xml:space="preserve">When VIX rises above 25, effective betas blend toward 1.0 (market-neutral) to capture the regime shift where idiosyncratic factors compress and systemic correlation dominates:</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cFactor = min(0.8, max(0, (VIX − 25) / 25))</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effectiveSectorBeta = (1 − cFactor) × sectorBeta + cFactor × 1.0</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effectiveMarketBeta = (1 − cFactor) × marketBeta + cFactor × 1.0</w:t>
      </w:r>
    </w:p>
    <w:p>
      <w:pPr>
        <w:spacing w:before="80" w:after="80" w:line="320"/>
      </w:pPr>
      <w:r>
        <w:rPr>
          <w:color w:val="1E293B"/>
          <w:sz w:val="20"/>
          <w:szCs w:val="20"/>
          <w:rFonts w:ascii="Calibri" w:cs="Calibri" w:eastAsia="Calibri" w:hAnsi="Calibri"/>
        </w:rPr>
        <w:t xml:space="preserve">At VIX = 50, cFactor = 1.0 and all betas converge to 1.0.</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Leg B — Volatility Premium</w:t>
      </w:r>
    </w:p>
    <w:p>
      <w:pPr>
        <w:spacing w:before="80" w:after="80" w:line="320"/>
      </w:pPr>
      <w:r>
        <w:rPr>
          <w:b/>
          <w:bCs/>
          <w:color w:val="1E293B"/>
          <w:sz w:val="20"/>
          <w:szCs w:val="20"/>
          <w:rFonts w:ascii="Calibri" w:cs="Calibri" w:eastAsia="Calibri" w:hAnsi="Calibri"/>
        </w:rPr>
        <w:t xml:space="preserve">Proxy Volatility:</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proxyVol = sectorVol × effectiveSectorBeta + residual</w:t>
      </w:r>
    </w:p>
    <w:p>
      <w:pPr>
        <w:spacing w:before="80" w:after="80"/>
      </w:pPr>
      <w:r>
        <w:t xml:space="preserve"/>
      </w:r>
    </w:p>
    <w:p>
      <w:pPr>
        <w:spacing w:before="80" w:after="80" w:line="320"/>
      </w:pPr>
      <w:r>
        <w:rPr>
          <w:b/>
          <w:bCs/>
          <w:color w:val="1E293B"/>
          <w:sz w:val="20"/>
          <w:szCs w:val="20"/>
          <w:rFonts w:ascii="Calibri" w:cs="Calibri" w:eastAsia="Calibri" w:hAnsi="Calibri"/>
        </w:rPr>
        <w:t xml:space="preserve">Merton Convexity Scalar:</w:t>
      </w:r>
    </w:p>
    <w:p>
      <w:pPr>
        <w:spacing w:before="80" w:after="80" w:line="320"/>
      </w:pPr>
      <w:r>
        <w:rPr>
          <w:color w:val="1E293B"/>
          <w:sz w:val="20"/>
          <w:szCs w:val="20"/>
          <w:rFonts w:ascii="Calibri" w:cs="Calibri" w:eastAsia="Calibri" w:hAnsi="Calibri"/>
        </w:rPr>
        <w:t xml:space="preserve">A sigmoid function maps proxy volatility to a nonlinear multiplier, capturing the accelerating convexity of credit risk as volatility rises. The scalar ranges from 1.5 (low vol) to 2.5 (high vol):</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mertonScalar = 1.5 + 1.0 / (1 + exp(−0.4 × (proxyVol − 35)))</w:t>
      </w:r>
    </w:p>
    <w:p>
      <w:pPr>
        <w:spacing w:before="80" w:after="80"/>
      </w:pPr>
      <w:r>
        <w:t xml:space="preserve"/>
      </w:r>
    </w:p>
    <w:p>
      <w:pPr>
        <w:spacing w:before="80" w:after="80" w:line="320"/>
      </w:pPr>
      <w:r>
        <w:rPr>
          <w:b/>
          <w:bCs/>
          <w:color w:val="1E293B"/>
          <w:sz w:val="20"/>
          <w:szCs w:val="20"/>
          <w:rFonts w:ascii="Calibri" w:cs="Calibri" w:eastAsia="Calibri" w:hAnsi="Calibri"/>
        </w:rPr>
        <w:t xml:space="preserve">Volatility Premium:</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volatilityPremium = proxyVol × mertonScalar × stressMultiplier × sensitivity</w:t>
      </w:r>
    </w:p>
    <w:p>
      <w:pPr>
        <w:spacing w:before="80" w:after="80"/>
      </w:pPr>
      <w:r>
        <w:t xml:space="preserve"/>
      </w:r>
    </w:p>
    <w:p>
      <w:pPr>
        <w:spacing w:before="80" w:after="80" w:line="320"/>
      </w:pPr>
      <w:r>
        <w:rPr>
          <w:b/>
          <w:bCs/>
          <w:color w:val="1E293B"/>
          <w:sz w:val="20"/>
          <w:szCs w:val="20"/>
          <w:rFonts w:ascii="Calibri" w:cs="Calibri" w:eastAsia="Calibri" w:hAnsi="Calibri"/>
        </w:rPr>
        <w:t xml:space="preserve">Market Component:</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marketComponent = effectiveMarketBeta × 50 × stressMultiplier × sensitivity</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Leg C — Seniority and Tenure Adjustments</w:t>
      </w:r>
    </w:p>
    <w:p>
      <w:pPr>
        <w:spacing w:before="80" w:after="80" w:line="320"/>
      </w:pPr>
      <w:r>
        <w:rPr>
          <w:color w:val="1E293B"/>
          <w:sz w:val="20"/>
          <w:szCs w:val="20"/>
          <w:rFonts w:ascii="Calibri" w:cs="Calibri" w:eastAsia="Calibri" w:hAnsi="Calibri"/>
        </w:rPr>
        <w:t xml:space="preserve">Applied when the user selects a specific instrument type and tenor in the UI:</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seniorityMultiplier: Secured = 0.85 | Unsecured = 1.00 | Subordinated = 1.5 + (baseTotal / 200)</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tenureMultiplier = 1 + (selectedTenure − 10) × 0.03</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Final Spread and Yield Assembly</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liveSpread = (macroAnchor + volatilityPremium + marketComponent) × seniorityMultiplier × tenureMultiplier</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impliedYield = sovereignRate + liveSpread / 100</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Probability of Default (PoD)</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PoD = 1 − exp(−spread/10000 × 10)</w:t>
      </w:r>
    </w:p>
    <w:p>
      <w:pPr>
        <w:spacing w:before="80" w:after="80" w:line="320"/>
      </w:pPr>
      <w:r>
        <w:rPr>
          <w:color w:val="1E293B"/>
          <w:sz w:val="20"/>
          <w:szCs w:val="20"/>
          <w:rFonts w:ascii="Calibri" w:cs="Calibri" w:eastAsia="Calibri" w:hAnsi="Calibri"/>
        </w:rPr>
        <w:t xml:space="preserve">This assumes a 10-year horizon with implicit LGD = 100%. It overstates PoD for IG names — acceptable for relative signal comparison, not absolute valuation.</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2.4  Spread Driver Decomposition</w:t>
      </w:r>
    </w:p>
    <w:p>
      <w:pPr>
        <w:spacing w:before="80" w:after="80" w:line="320"/>
      </w:pPr>
      <w:r>
        <w:rPr>
          <w:color w:val="1E293B"/>
          <w:sz w:val="20"/>
          <w:szCs w:val="20"/>
          <w:rFonts w:ascii="Calibri" w:cs="Calibri" w:eastAsia="Calibri" w:hAnsi="Calibri"/>
        </w:rPr>
        <w:t xml:space="preserve">The getSpreadDrivers function decomposes the total live spread into six labelled components, expressed as both basis points and percentage of total:</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7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Component</w:t>
            </w:r>
          </w:p>
        </w:tc>
        <w:tc>
          <w:tcPr>
            <w:tcW w:type="dxa" w:w="64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Definition</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Anchor</w:t>
            </w:r>
          </w:p>
        </w:tc>
        <w:tc>
          <w:tcPr>
            <w:tcW w:type="dxa" w:w="6440"/>
            <w:tcMar>
              <w:top w:type="dxa" w:w="80"/>
              <w:left w:type="dxa" w:w="120"/>
              <w:bottom w:type="dxa" w:w="80"/>
              <w:right w:type="dxa" w:w="120"/>
            </w:tcMar>
          </w:tcPr>
          <w:p>
            <w:r>
              <w:rPr>
                <w:color w:val="1E293B"/>
                <w:sz w:val="18"/>
                <w:szCs w:val="18"/>
                <w:rFonts w:ascii="Calibri" w:cs="Calibri" w:eastAsia="Calibri" w:hAnsi="Calibri"/>
              </w:rPr>
              <w:t xml:space="preserve">max(baseSpread, ratingIndexBps)</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Market</w:t>
            </w:r>
          </w:p>
        </w:tc>
        <w:tc>
          <w:tcPr>
            <w:tcW w:type="dxa" w:w="64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effectiveMarketBeta × 50 × stressMultiplier × sensitivity</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Volatility Pure</w:t>
            </w:r>
          </w:p>
        </w:tc>
        <w:tc>
          <w:tcPr>
            <w:tcW w:type="dxa" w:w="6440"/>
            <w:tcMar>
              <w:top w:type="dxa" w:w="80"/>
              <w:left w:type="dxa" w:w="120"/>
              <w:bottom w:type="dxa" w:w="80"/>
              <w:right w:type="dxa" w:w="120"/>
            </w:tcMar>
          </w:tcPr>
          <w:p>
            <w:r>
              <w:rPr>
                <w:color w:val="1E293B"/>
                <w:sz w:val="18"/>
                <w:szCs w:val="18"/>
                <w:rFonts w:ascii="Calibri" w:cs="Calibri" w:eastAsia="Calibri" w:hAnsi="Calibri"/>
              </w:rPr>
              <w:t xml:space="preserve">proxyVol × mertonScalar × stressMultiplier × sensitivity</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Residual</w:t>
            </w:r>
          </w:p>
        </w:tc>
        <w:tc>
          <w:tcPr>
            <w:tcW w:type="dxa" w:w="64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Auto-calibrated correction term (bps)</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Seniority</w:t>
            </w:r>
          </w:p>
        </w:tc>
        <w:tc>
          <w:tcPr>
            <w:tcW w:type="dxa" w:w="6440"/>
            <w:tcMar>
              <w:top w:type="dxa" w:w="80"/>
              <w:left w:type="dxa" w:w="120"/>
              <w:bottom w:type="dxa" w:w="80"/>
              <w:right w:type="dxa" w:w="120"/>
            </w:tcMar>
          </w:tcPr>
          <w:p>
            <w:r>
              <w:rPr>
                <w:color w:val="1E293B"/>
                <w:sz w:val="18"/>
                <w:szCs w:val="18"/>
                <w:rFonts w:ascii="Calibri" w:cs="Calibri" w:eastAsia="Calibri" w:hAnsi="Calibri"/>
              </w:rPr>
              <w:t xml:space="preserve">Additive delta from seniority multiplier</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Tenure</w:t>
            </w:r>
          </w:p>
        </w:tc>
        <w:tc>
          <w:tcPr>
            <w:tcW w:type="dxa" w:w="64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Additive delta from tenure multiplier</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2.5  Auto-Calibration Loop</w:t>
      </w:r>
    </w:p>
    <w:p>
      <w:pPr>
        <w:spacing w:before="80" w:after="80" w:line="320"/>
      </w:pPr>
      <w:r>
        <w:rPr>
          <w:color w:val="1E293B"/>
          <w:sz w:val="20"/>
          <w:szCs w:val="20"/>
          <w:rFonts w:ascii="Calibri" w:cs="Calibri" w:eastAsia="Calibri" w:hAnsi="Calibri"/>
        </w:rPr>
        <w:t xml:space="preserve">Every 2 hours, Sentinel spot-checks 3 randomly selected companies from the registry:</w:t>
      </w:r>
    </w:p>
    <w:p>
      <w:pPr>
        <w:pStyle w:val="ListParagraph"/>
        <w:numPr>
          <w:ilvl w:val="0"/>
          <w:numId w:val="1"/>
        </w:numPr>
        <w:spacing w:before="40" w:after="40" w:line="300"/>
        <w:ind w:left="360"/>
      </w:pPr>
      <w:r>
        <w:rPr>
          <w:color w:val="1E293B"/>
          <w:sz w:val="20"/>
          <w:szCs w:val="20"/>
          <w:rFonts w:ascii="Calibri" w:cs="Calibri" w:eastAsia="Calibri" w:hAnsi="Calibri"/>
        </w:rPr>
        <w:t xml:space="preserve">Fetch 30-day actual realized volatility from Yahoo Finance for the ticker</w:t>
      </w:r>
    </w:p>
    <w:p>
      <w:pPr>
        <w:pStyle w:val="ListParagraph"/>
        <w:numPr>
          <w:ilvl w:val="0"/>
          <w:numId w:val="1"/>
        </w:numPr>
        <w:spacing w:before="40" w:after="40" w:line="300"/>
        <w:ind w:left="360"/>
      </w:pPr>
      <w:r>
        <w:rPr>
          <w:color w:val="1E293B"/>
          <w:sz w:val="20"/>
          <w:szCs w:val="20"/>
          <w:rFonts w:ascii="Calibri" w:cs="Calibri" w:eastAsia="Calibri" w:hAnsi="Calibri"/>
        </w:rPr>
        <w:t xml:space="preserve">Compute proxy volatility using current sector vol × company beta</w:t>
      </w:r>
    </w:p>
    <w:p>
      <w:pPr>
        <w:pStyle w:val="ListParagraph"/>
        <w:numPr>
          <w:ilvl w:val="0"/>
          <w:numId w:val="1"/>
        </w:numPr>
        <w:spacing w:before="40" w:after="40" w:line="300"/>
        <w:ind w:left="360"/>
      </w:pPr>
      <w:r>
        <w:rPr>
          <w:color w:val="1E293B"/>
          <w:sz w:val="20"/>
          <w:szCs w:val="20"/>
          <w:rFonts w:ascii="Calibri" w:cs="Calibri" w:eastAsia="Calibri" w:hAnsi="Calibri"/>
        </w:rPr>
        <w:t xml:space="preserve">Convert vol error to spread basis points: volError (%) × 1.5 bps per 1%</w:t>
      </w:r>
    </w:p>
    <w:p>
      <w:pPr>
        <w:pStyle w:val="ListParagraph"/>
        <w:numPr>
          <w:ilvl w:val="0"/>
          <w:numId w:val="1"/>
        </w:numPr>
        <w:spacing w:before="40" w:after="40" w:line="300"/>
        <w:ind w:left="360"/>
      </w:pPr>
      <w:r>
        <w:rPr>
          <w:color w:val="1E293B"/>
          <w:sz w:val="20"/>
          <w:szCs w:val="20"/>
          <w:rFonts w:ascii="Calibri" w:cs="Calibri" w:eastAsia="Calibri" w:hAnsi="Calibri"/>
        </w:rPr>
        <w:t xml:space="preserve">Set company.residual += volError</w:t>
      </w:r>
    </w:p>
    <w:p>
      <w:pPr>
        <w:pStyle w:val="ListParagraph"/>
        <w:numPr>
          <w:ilvl w:val="0"/>
          <w:numId w:val="1"/>
        </w:numPr>
        <w:spacing w:before="40" w:after="40" w:line="300"/>
        <w:ind w:left="360"/>
      </w:pPr>
      <w:r>
        <w:rPr>
          <w:color w:val="1E293B"/>
          <w:sz w:val="20"/>
          <w:szCs w:val="20"/>
          <w:rFonts w:ascii="Calibri" w:cs="Calibri" w:eastAsia="Calibri" w:hAnsi="Calibri"/>
        </w:rPr>
        <w:t xml:space="preserve">Lerp the residual adjustment smoothly over 50 steps (5 seconds) to avoid UI jumps</w:t>
      </w:r>
    </w:p>
    <w:p>
      <w:pPr>
        <w:spacing w:before="80" w:after="80"/>
      </w:pPr>
      <w:r>
        <w:t xml:space="preserve"/>
      </w:r>
    </w:p>
    <w:p>
      <w:pPr>
        <w:spacing w:before="80" w:after="80" w:line="320"/>
      </w:pPr>
      <w:r>
        <w:rPr>
          <w:b/>
          <w:bCs/>
          <w:color w:val="1E293B"/>
          <w:sz w:val="20"/>
          <w:szCs w:val="20"/>
          <w:rFonts w:ascii="Calibri" w:cs="Calibri" w:eastAsia="Calibri" w:hAnsi="Calibri"/>
        </w:rPr>
        <w:t xml:space="preserve">Market Pulse states set per company post-calibration:</w:t>
      </w:r>
    </w:p>
    <w:p>
      <w:pPr>
        <w:pStyle w:val="ListParagraph"/>
        <w:numPr>
          <w:ilvl w:val="0"/>
          <w:numId w:val="1"/>
        </w:numPr>
        <w:spacing w:before="40" w:after="40" w:line="300"/>
        <w:ind w:left="360"/>
      </w:pPr>
      <w:r>
        <w:rPr>
          <w:color w:val="1E293B"/>
          <w:sz w:val="20"/>
          <w:szCs w:val="20"/>
          <w:rFonts w:ascii="Calibri" w:cs="Calibri" w:eastAsia="Calibri" w:hAnsi="Calibri"/>
        </w:rPr>
        <w:t xml:space="preserve">STABLE — vol error &lt; 3%</w:t>
      </w:r>
    </w:p>
    <w:p>
      <w:pPr>
        <w:pStyle w:val="ListParagraph"/>
        <w:numPr>
          <w:ilvl w:val="0"/>
          <w:numId w:val="1"/>
        </w:numPr>
        <w:spacing w:before="40" w:after="40" w:line="300"/>
        <w:ind w:left="360"/>
      </w:pPr>
      <w:r>
        <w:rPr>
          <w:color w:val="1E293B"/>
          <w:sz w:val="20"/>
          <w:szCs w:val="20"/>
          <w:rFonts w:ascii="Calibri" w:cs="Calibri" w:eastAsia="Calibri" w:hAnsi="Calibri"/>
        </w:rPr>
        <w:t xml:space="preserve">VOL SPIKE — sector vol increased &gt; 10% since last check</w:t>
      </w:r>
    </w:p>
    <w:p>
      <w:pPr>
        <w:pStyle w:val="ListParagraph"/>
        <w:numPr>
          <w:ilvl w:val="0"/>
          <w:numId w:val="1"/>
        </w:numPr>
        <w:spacing w:before="40" w:after="40" w:line="300"/>
        <w:ind w:left="360"/>
      </w:pPr>
      <w:r>
        <w:rPr>
          <w:color w:val="1E293B"/>
          <w:sz w:val="20"/>
          <w:szCs w:val="20"/>
          <w:rFonts w:ascii="Calibri" w:cs="Calibri" w:eastAsia="Calibri" w:hAnsi="Calibri"/>
        </w:rPr>
        <w:t xml:space="preserve">CONVEX TRIGGER — mertonScalar crossed the inflection zone (proxyVol ≈ 35)</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2.6  Rating Band Validation</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7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Rating</w:t>
            </w:r>
          </w:p>
        </w:tc>
        <w:tc>
          <w:tcPr>
            <w:tcW w:type="dxa" w:w="64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Expected Range (bps)</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AAA</w:t>
            </w:r>
          </w:p>
        </w:tc>
        <w:tc>
          <w:tcPr>
            <w:tcW w:type="dxa" w:w="6440"/>
            <w:tcMar>
              <w:top w:type="dxa" w:w="80"/>
              <w:left w:type="dxa" w:w="120"/>
              <w:bottom w:type="dxa" w:w="80"/>
              <w:right w:type="dxa" w:w="120"/>
            </w:tcMar>
          </w:tcPr>
          <w:p>
            <w:r>
              <w:rPr>
                <w:color w:val="1E293B"/>
                <w:sz w:val="18"/>
                <w:szCs w:val="18"/>
                <w:rFonts w:ascii="Calibri" w:cs="Calibri" w:eastAsia="Calibri" w:hAnsi="Calibri"/>
              </w:rPr>
              <w:t xml:space="preserve">30 – 150</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AA</w:t>
            </w:r>
          </w:p>
        </w:tc>
        <w:tc>
          <w:tcPr>
            <w:tcW w:type="dxa" w:w="64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50 – 200</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A</w:t>
            </w:r>
          </w:p>
        </w:tc>
        <w:tc>
          <w:tcPr>
            <w:tcW w:type="dxa" w:w="6440"/>
            <w:tcMar>
              <w:top w:type="dxa" w:w="80"/>
              <w:left w:type="dxa" w:w="120"/>
              <w:bottom w:type="dxa" w:w="80"/>
              <w:right w:type="dxa" w:w="120"/>
            </w:tcMar>
          </w:tcPr>
          <w:p>
            <w:r>
              <w:rPr>
                <w:color w:val="1E293B"/>
                <w:sz w:val="18"/>
                <w:szCs w:val="18"/>
                <w:rFonts w:ascii="Calibri" w:cs="Calibri" w:eastAsia="Calibri" w:hAnsi="Calibri"/>
              </w:rPr>
              <w:t xml:space="preserve">70 – 250</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BBB</w:t>
            </w:r>
          </w:p>
        </w:tc>
        <w:tc>
          <w:tcPr>
            <w:tcW w:type="dxa" w:w="64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100 – 350</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HY</w:t>
            </w:r>
          </w:p>
        </w:tc>
        <w:tc>
          <w:tcPr>
            <w:tcW w:type="dxa" w:w="6440"/>
            <w:tcMar>
              <w:top w:type="dxa" w:w="80"/>
              <w:left w:type="dxa" w:w="120"/>
              <w:bottom w:type="dxa" w:w="80"/>
              <w:right w:type="dxa" w:w="120"/>
            </w:tcMar>
          </w:tcPr>
          <w:p>
            <w:r>
              <w:rPr>
                <w:color w:val="1E293B"/>
                <w:sz w:val="18"/>
                <w:szCs w:val="18"/>
                <w:rFonts w:ascii="Calibri" w:cs="Calibri" w:eastAsia="Calibri" w:hAnsi="Calibri"/>
              </w:rPr>
              <w:t xml:space="preserve">200 – 700</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2.7  Sovereign Spread Adjustments</w:t>
      </w:r>
    </w:p>
    <w:p>
      <w:pPr>
        <w:spacing w:before="80" w:after="80" w:line="320"/>
      </w:pPr>
      <w:r>
        <w:rPr>
          <w:color w:val="1E293B"/>
          <w:sz w:val="20"/>
          <w:szCs w:val="20"/>
          <w:rFonts w:ascii="Calibri" w:cs="Calibri" w:eastAsia="Calibri" w:hAnsi="Calibri"/>
        </w:rPr>
        <w:t xml:space="preserve">Country-specific sovereign spread premiums (bps over the reference base rate) are added for non-core jurisdictions:</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46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Country / Region</w:t>
            </w:r>
          </w:p>
        </w:tc>
        <w:tc>
          <w:tcPr>
            <w:tcW w:type="dxa" w:w="46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Premium (bps)</w:t>
            </w:r>
          </w:p>
        </w:tc>
      </w:tr>
      <w:tr>
        <w:tc>
          <w:tcPr>
            <w:tcW w:type="dxa" w:w="4600"/>
            <w:tcMar>
              <w:top w:type="dxa" w:w="80"/>
              <w:left w:type="dxa" w:w="120"/>
              <w:bottom w:type="dxa" w:w="80"/>
              <w:right w:type="dxa" w:w="120"/>
            </w:tcMar>
          </w:tcPr>
          <w:p>
            <w:r>
              <w:rPr>
                <w:color w:val="1E293B"/>
                <w:sz w:val="18"/>
                <w:szCs w:val="18"/>
                <w:rFonts w:ascii="Calibri" w:cs="Calibri" w:eastAsia="Calibri" w:hAnsi="Calibri"/>
              </w:rPr>
              <w:t xml:space="preserve">US, DE, FR, UK, SE</w:t>
            </w:r>
          </w:p>
        </w:tc>
        <w:tc>
          <w:tcPr>
            <w:tcW w:type="dxa" w:w="4600"/>
            <w:tcMar>
              <w:top w:type="dxa" w:w="80"/>
              <w:left w:type="dxa" w:w="120"/>
              <w:bottom w:type="dxa" w:w="80"/>
              <w:right w:type="dxa" w:w="120"/>
            </w:tcMar>
          </w:tcPr>
          <w:p>
            <w:r>
              <w:rPr>
                <w:color w:val="1E293B"/>
                <w:sz w:val="18"/>
                <w:szCs w:val="18"/>
                <w:rFonts w:ascii="Calibri" w:cs="Calibri" w:eastAsia="Calibri" w:hAnsi="Calibri"/>
              </w:rPr>
              <w:t xml:space="preserve">0</w:t>
            </w:r>
          </w:p>
        </w:tc>
      </w:tr>
      <w:tr>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Norway (NO)</w:t>
            </w:r>
          </w:p>
        </w:tc>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45</w:t>
            </w:r>
          </w:p>
        </w:tc>
      </w:tr>
      <w:tr>
        <w:tc>
          <w:tcPr>
            <w:tcW w:type="dxa" w:w="4600"/>
            <w:tcMar>
              <w:top w:type="dxa" w:w="80"/>
              <w:left w:type="dxa" w:w="120"/>
              <w:bottom w:type="dxa" w:w="80"/>
              <w:right w:type="dxa" w:w="120"/>
            </w:tcMar>
          </w:tcPr>
          <w:p>
            <w:r>
              <w:rPr>
                <w:color w:val="1E293B"/>
                <w:sz w:val="18"/>
                <w:szCs w:val="18"/>
                <w:rFonts w:ascii="Calibri" w:cs="Calibri" w:eastAsia="Calibri" w:hAnsi="Calibri"/>
              </w:rPr>
              <w:t xml:space="preserve">Spain (ES)</w:t>
            </w:r>
          </w:p>
        </w:tc>
        <w:tc>
          <w:tcPr>
            <w:tcW w:type="dxa" w:w="4600"/>
            <w:tcMar>
              <w:top w:type="dxa" w:w="80"/>
              <w:left w:type="dxa" w:w="120"/>
              <w:bottom w:type="dxa" w:w="80"/>
              <w:right w:type="dxa" w:w="120"/>
            </w:tcMar>
          </w:tcPr>
          <w:p>
            <w:r>
              <w:rPr>
                <w:color w:val="1E293B"/>
                <w:sz w:val="18"/>
                <w:szCs w:val="18"/>
                <w:rFonts w:ascii="Calibri" w:cs="Calibri" w:eastAsia="Calibri" w:hAnsi="Calibri"/>
              </w:rPr>
              <w:t xml:space="preserve">80</w:t>
            </w:r>
          </w:p>
        </w:tc>
      </w:tr>
      <w:tr>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Italy (IT)</w:t>
            </w:r>
          </w:p>
        </w:tc>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145</w:t>
            </w:r>
          </w:p>
        </w:tc>
      </w:tr>
      <w:tr>
        <w:tc>
          <w:tcPr>
            <w:tcW w:type="dxa" w:w="4600"/>
            <w:tcMar>
              <w:top w:type="dxa" w:w="80"/>
              <w:left w:type="dxa" w:w="120"/>
              <w:bottom w:type="dxa" w:w="80"/>
              <w:right w:type="dxa" w:w="120"/>
            </w:tcMar>
          </w:tcPr>
          <w:p>
            <w:r>
              <w:rPr>
                <w:color w:val="1E293B"/>
                <w:sz w:val="18"/>
                <w:szCs w:val="18"/>
                <w:rFonts w:ascii="Calibri" w:cs="Calibri" w:eastAsia="Calibri" w:hAnsi="Calibri"/>
              </w:rPr>
              <w:t xml:space="preserve">Saudi Arabia (SA)</w:t>
            </w:r>
          </w:p>
        </w:tc>
        <w:tc>
          <w:tcPr>
            <w:tcW w:type="dxa" w:w="4600"/>
            <w:tcMar>
              <w:top w:type="dxa" w:w="80"/>
              <w:left w:type="dxa" w:w="120"/>
              <w:bottom w:type="dxa" w:w="80"/>
              <w:right w:type="dxa" w:w="120"/>
            </w:tcMar>
          </w:tcPr>
          <w:p>
            <w:r>
              <w:rPr>
                <w:color w:val="1E293B"/>
                <w:sz w:val="18"/>
                <w:szCs w:val="18"/>
                <w:rFonts w:ascii="Calibri" w:cs="Calibri" w:eastAsia="Calibri" w:hAnsi="Calibri"/>
              </w:rPr>
              <w:t xml:space="preserve">100</w:t>
            </w:r>
          </w:p>
        </w:tc>
      </w:tr>
      <w:tr>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Brazil / India</w:t>
            </w:r>
          </w:p>
        </w:tc>
        <w:tc>
          <w:tcPr>
            <w:tcW w:type="dxa" w:w="46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250</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2.8  Risk Level Thresholds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368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Level</w:t>
            </w:r>
          </w:p>
        </w:tc>
        <w:tc>
          <w:tcPr>
            <w:tcW w:type="dxa" w:w="55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Spread Range</w:t>
            </w:r>
          </w:p>
        </w:tc>
      </w:tr>
      <w:tr>
        <w:tc>
          <w:tcPr>
            <w:tcW w:type="dxa" w:w="3680"/>
            <w:tcMar>
              <w:top w:type="dxa" w:w="80"/>
              <w:left w:type="dxa" w:w="120"/>
              <w:bottom w:type="dxa" w:w="80"/>
              <w:right w:type="dxa" w:w="120"/>
            </w:tcMar>
          </w:tcPr>
          <w:p>
            <w:r>
              <w:rPr>
                <w:color w:val="1E293B"/>
                <w:sz w:val="18"/>
                <w:szCs w:val="18"/>
                <w:rFonts w:ascii="Calibri" w:cs="Calibri" w:eastAsia="Calibri" w:hAnsi="Calibri"/>
              </w:rPr>
              <w:t xml:space="preserve">NOMINAL</w:t>
            </w:r>
          </w:p>
        </w:tc>
        <w:tc>
          <w:tcPr>
            <w:tcW w:type="dxa" w:w="5520"/>
            <w:tcMar>
              <w:top w:type="dxa" w:w="80"/>
              <w:left w:type="dxa" w:w="120"/>
              <w:bottom w:type="dxa" w:w="80"/>
              <w:right w:type="dxa" w:w="120"/>
            </w:tcMar>
          </w:tcPr>
          <w:p>
            <w:r>
              <w:rPr>
                <w:color w:val="1E293B"/>
                <w:sz w:val="18"/>
                <w:szCs w:val="18"/>
                <w:rFonts w:ascii="Calibri" w:cs="Calibri" w:eastAsia="Calibri" w:hAnsi="Calibri"/>
              </w:rPr>
              <w:t xml:space="preserve">&lt; 200 bps</w:t>
            </w:r>
          </w:p>
        </w:tc>
      </w:tr>
      <w:tr>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CAUTION</w:t>
            </w:r>
          </w:p>
        </w:tc>
        <w:tc>
          <w:tcPr>
            <w:tcW w:type="dxa" w:w="55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200 – 400 bps</w:t>
            </w:r>
          </w:p>
        </w:tc>
      </w:tr>
      <w:tr>
        <w:tc>
          <w:tcPr>
            <w:tcW w:type="dxa" w:w="3680"/>
            <w:tcMar>
              <w:top w:type="dxa" w:w="80"/>
              <w:left w:type="dxa" w:w="120"/>
              <w:bottom w:type="dxa" w:w="80"/>
              <w:right w:type="dxa" w:w="120"/>
            </w:tcMar>
          </w:tcPr>
          <w:p>
            <w:r>
              <w:rPr>
                <w:color w:val="1E293B"/>
                <w:sz w:val="18"/>
                <w:szCs w:val="18"/>
                <w:rFonts w:ascii="Calibri" w:cs="Calibri" w:eastAsia="Calibri" w:hAnsi="Calibri"/>
              </w:rPr>
              <w:t xml:space="preserve">ELEVATED</w:t>
            </w:r>
          </w:p>
        </w:tc>
        <w:tc>
          <w:tcPr>
            <w:tcW w:type="dxa" w:w="5520"/>
            <w:tcMar>
              <w:top w:type="dxa" w:w="80"/>
              <w:left w:type="dxa" w:w="120"/>
              <w:bottom w:type="dxa" w:w="80"/>
              <w:right w:type="dxa" w:w="120"/>
            </w:tcMar>
          </w:tcPr>
          <w:p>
            <w:r>
              <w:rPr>
                <w:color w:val="1E293B"/>
                <w:sz w:val="18"/>
                <w:szCs w:val="18"/>
                <w:rFonts w:ascii="Calibri" w:cs="Calibri" w:eastAsia="Calibri" w:hAnsi="Calibri"/>
              </w:rPr>
              <w:t xml:space="preserve">400 – 800 bps</w:t>
            </w:r>
          </w:p>
        </w:tc>
      </w:tr>
      <w:tr>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CRITICAL</w:t>
            </w:r>
          </w:p>
        </w:tc>
        <w:tc>
          <w:tcPr>
            <w:tcW w:type="dxa" w:w="55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&gt; 800 bps</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2.9  Refresh and Batching Architecture</w:t>
      </w:r>
    </w:p>
    <w:p>
      <w:pPr>
        <w:pStyle w:val="ListParagraph"/>
        <w:numPr>
          <w:ilvl w:val="0"/>
          <w:numId w:val="1"/>
        </w:numPr>
        <w:spacing w:before="40" w:after="40" w:line="300"/>
        <w:ind w:left="360"/>
      </w:pPr>
      <w:r>
        <w:rPr>
          <w:color w:val="1E293B"/>
          <w:sz w:val="20"/>
          <w:szCs w:val="20"/>
          <w:rFonts w:ascii="Calibri" w:cs="Calibri" w:eastAsia="Calibri" w:hAnsi="Calibri"/>
        </w:rPr>
        <w:t xml:space="preserve">Default refresh cycle: 5 seconds</w:t>
      </w:r>
    </w:p>
    <w:p>
      <w:pPr>
        <w:pStyle w:val="ListParagraph"/>
        <w:numPr>
          <w:ilvl w:val="0"/>
          <w:numId w:val="1"/>
        </w:numPr>
        <w:spacing w:before="40" w:after="40" w:line="300"/>
        <w:ind w:left="360"/>
      </w:pPr>
      <w:r>
        <w:rPr>
          <w:color w:val="1E293B"/>
          <w:sz w:val="20"/>
          <w:szCs w:val="20"/>
          <w:rFonts w:ascii="Calibri" w:cs="Calibri" w:eastAsia="Calibri" w:hAnsi="Calibri"/>
        </w:rPr>
        <w:t xml:space="preserve">Batch size: 5 companies per cycle</w:t>
      </w:r>
    </w:p>
    <w:p>
      <w:pPr>
        <w:pStyle w:val="ListParagraph"/>
        <w:numPr>
          <w:ilvl w:val="0"/>
          <w:numId w:val="1"/>
        </w:numPr>
        <w:spacing w:before="40" w:after="40" w:line="300"/>
        <w:ind w:left="360"/>
      </w:pPr>
      <w:r>
        <w:rPr>
          <w:color w:val="1E293B"/>
          <w:sz w:val="20"/>
          <w:szCs w:val="20"/>
          <w:rFonts w:ascii="Calibri" w:cs="Calibri" w:eastAsia="Calibri" w:hAnsi="Calibri"/>
        </w:rPr>
        <w:t xml:space="preserve">Batches alternate between Energy/Utilities and Industrials cohorts</w:t>
      </w:r>
    </w:p>
    <w:p>
      <w:pPr>
        <w:pStyle w:val="ListParagraph"/>
        <w:numPr>
          <w:ilvl w:val="0"/>
          <w:numId w:val="1"/>
        </w:numPr>
        <w:spacing w:before="40" w:after="40" w:line="300"/>
        <w:ind w:left="360"/>
      </w:pPr>
      <w:r>
        <w:rPr>
          <w:color w:val="1E293B"/>
          <w:sz w:val="20"/>
          <w:szCs w:val="20"/>
          <w:rFonts w:ascii="Calibri" w:cs="Calibri" w:eastAsia="Calibri" w:hAnsi="Calibri"/>
        </w:rPr>
        <w:t xml:space="preserve">Modal (focus) mode: 5-second cycle for the selected company only</w:t>
      </w:r>
    </w:p>
    <w:p>
      <w:pPr>
        <w:pStyle w:val="ListParagraph"/>
        <w:numPr>
          <w:ilvl w:val="0"/>
          <w:numId w:val="1"/>
        </w:numPr>
        <w:spacing w:before="40" w:after="40" w:line="300"/>
        <w:ind w:left="360"/>
      </w:pPr>
      <w:r>
        <w:rPr>
          <w:color w:val="1E293B"/>
          <w:sz w:val="20"/>
          <w:szCs w:val="20"/>
          <w:rFonts w:ascii="Calibri" w:cs="Calibri" w:eastAsia="Calibri" w:hAnsi="Calibri"/>
        </w:rPr>
        <w:t xml:space="preserve">Background (stale) mode: 60-second cycle for companies not currently viewed</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2.10  Verification Status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368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Age</w:t>
            </w:r>
          </w:p>
        </w:tc>
        <w:tc>
          <w:tcPr>
            <w:tcW w:type="dxa" w:w="55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Status</w:t>
            </w:r>
          </w:p>
        </w:tc>
      </w:tr>
      <w:tr>
        <w:tc>
          <w:tcPr>
            <w:tcW w:type="dxa" w:w="3680"/>
            <w:tcMar>
              <w:top w:type="dxa" w:w="80"/>
              <w:left w:type="dxa" w:w="120"/>
              <w:bottom w:type="dxa" w:w="80"/>
              <w:right w:type="dxa" w:w="120"/>
            </w:tcMar>
          </w:tcPr>
          <w:p>
            <w:r>
              <w:rPr>
                <w:color w:val="1E293B"/>
                <w:sz w:val="18"/>
                <w:szCs w:val="18"/>
                <w:rFonts w:ascii="Calibri" w:cs="Calibri" w:eastAsia="Calibri" w:hAnsi="Calibri"/>
              </w:rPr>
              <w:t xml:space="preserve">&lt; 60 days</w:t>
            </w:r>
          </w:p>
        </w:tc>
        <w:tc>
          <w:tcPr>
            <w:tcW w:type="dxa" w:w="5520"/>
            <w:tcMar>
              <w:top w:type="dxa" w:w="80"/>
              <w:left w:type="dxa" w:w="120"/>
              <w:bottom w:type="dxa" w:w="80"/>
              <w:right w:type="dxa" w:w="120"/>
            </w:tcMar>
          </w:tcPr>
          <w:p>
            <w:r>
              <w:rPr>
                <w:color w:val="1E293B"/>
                <w:sz w:val="18"/>
                <w:szCs w:val="18"/>
                <w:rFonts w:ascii="Calibri" w:cs="Calibri" w:eastAsia="Calibri" w:hAnsi="Calibri"/>
              </w:rPr>
              <w:t xml:space="preserve">Fresh (green)</w:t>
            </w:r>
          </w:p>
        </w:tc>
      </w:tr>
      <w:tr>
        <w:tc>
          <w:tcPr>
            <w:tcW w:type="dxa" w:w="36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60–90 days</w:t>
            </w:r>
          </w:p>
        </w:tc>
        <w:tc>
          <w:tcPr>
            <w:tcW w:type="dxa" w:w="55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Aging (amber)</w:t>
            </w:r>
          </w:p>
        </w:tc>
      </w:tr>
      <w:tr>
        <w:tc>
          <w:tcPr>
            <w:tcW w:type="dxa" w:w="3680"/>
            <w:tcMar>
              <w:top w:type="dxa" w:w="80"/>
              <w:left w:type="dxa" w:w="120"/>
              <w:bottom w:type="dxa" w:w="80"/>
              <w:right w:type="dxa" w:w="120"/>
            </w:tcMar>
          </w:tcPr>
          <w:p>
            <w:r>
              <w:rPr>
                <w:color w:val="1E293B"/>
                <w:sz w:val="18"/>
                <w:szCs w:val="18"/>
                <w:rFonts w:ascii="Calibri" w:cs="Calibri" w:eastAsia="Calibri" w:hAnsi="Calibri"/>
              </w:rPr>
              <w:t xml:space="preserve">&gt; 90 days</w:t>
            </w:r>
          </w:p>
        </w:tc>
        <w:tc>
          <w:tcPr>
            <w:tcW w:type="dxa" w:w="5520"/>
            <w:tcMar>
              <w:top w:type="dxa" w:w="80"/>
              <w:left w:type="dxa" w:w="120"/>
              <w:bottom w:type="dxa" w:w="80"/>
              <w:right w:type="dxa" w:w="120"/>
            </w:tcMar>
          </w:tcPr>
          <w:p>
            <w:r>
              <w:rPr>
                <w:color w:val="1E293B"/>
                <w:sz w:val="18"/>
                <w:szCs w:val="18"/>
                <w:rFonts w:ascii="Calibri" w:cs="Calibri" w:eastAsia="Calibri" w:hAnsi="Calibri"/>
              </w:rPr>
              <w:t xml:space="preserve">Stale (red)</w:t>
            </w:r>
          </w:p>
        </w:tc>
      </w:tr>
    </w:tbl>
    <w:p>
      <w:r>
        <w:br w:type="page"/>
      </w:r>
    </w:p>
    <w:p>
      <w:pPr>
        <w:pStyle w:val="Heading1"/>
        <w:shd w:fill="0A0F1E" w:color="0A0F1E" w:val="solid"/>
        <w:spacing w:before="480" w:after="200"/>
        <w:ind w:left="215" w:right="215"/>
      </w:pPr>
      <w:r>
        <w:rPr>
          <w:b/>
          <w:bCs/>
          <w:color w:val="FFFFFF"/>
          <w:sz w:val="32"/>
          <w:szCs w:val="32"/>
          <w:rFonts w:ascii="Calibri" w:cs="Calibri" w:eastAsia="Calibri" w:hAnsi="Calibri"/>
        </w:rPr>
        <w:t xml:space="preserve">PART III — OSIRIS</w:t>
      </w:r>
    </w:p>
    <w:p>
      <w:pPr>
        <w:spacing w:before="80" w:after="80" w:line="320"/>
      </w:pPr>
      <w:r>
        <w:rPr>
          <w:color w:val="1E293B"/>
          <w:sz w:val="20"/>
          <w:szCs w:val="20"/>
          <w:rFonts w:ascii="Calibri" w:cs="Calibri" w:eastAsia="Calibri" w:hAnsi="Calibri"/>
        </w:rPr>
        <w:t xml:space="preserve">Osiris is a stochastic simulation engine that runs multi-path Monte Carlo models to generate probabilistic price trajectory distributions for each covered company. It produces probability-weighted price targets and uncertainty ranges, not single-point estimates.</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3.1  Physics Model Assignment</w:t>
      </w:r>
    </w:p>
    <w:p>
      <w:pPr>
        <w:spacing w:before="80" w:after="80" w:line="320"/>
      </w:pPr>
      <w:r>
        <w:rPr>
          <w:color w:val="1E293B"/>
          <w:sz w:val="20"/>
          <w:szCs w:val="20"/>
          <w:rFonts w:ascii="Calibri" w:cs="Calibri" w:eastAsia="Calibri" w:hAnsi="Calibri"/>
        </w:rPr>
        <w:t xml:space="preserve">Each company is assigned a physics model based on its economic sector:</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7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Cohort</w:t>
            </w:r>
          </w:p>
        </w:tc>
        <w:tc>
          <w:tcPr>
            <w:tcW w:type="dxa" w:w="32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Physics Model</w:t>
            </w:r>
          </w:p>
        </w:tc>
        <w:tc>
          <w:tcPr>
            <w:tcW w:type="dxa" w:w="32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Rationale</w:t>
            </w:r>
          </w:p>
        </w:tc>
      </w:tr>
      <w:tr>
        <w:tc>
          <w:tcPr>
            <w:tcW w:type="dxa" w:w="2760"/>
            <w:tcMar>
              <w:top w:type="dxa" w:w="80"/>
              <w:left w:type="dxa" w:w="120"/>
              <w:bottom w:type="dxa" w:w="80"/>
              <w:right w:type="dxa" w:w="120"/>
            </w:tcMar>
          </w:tcPr>
          <w:p>
            <w:r>
              <w:rPr>
                <w:color w:val="1E293B"/>
                <w:sz w:val="18"/>
                <w:szCs w:val="18"/>
                <w:rFonts w:ascii="Calibri" w:cs="Calibri" w:eastAsia="Calibri" w:hAnsi="Calibri"/>
              </w:rPr>
              <w:t xml:space="preserve">Energy &amp; Utilities</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Ornstein-Uhlenbeck (OU)</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Mean-reverting; commodity cycle dynamics</w:t>
            </w:r>
          </w:p>
        </w:tc>
      </w:tr>
      <w:tr>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Industrials &amp; Defense</w:t>
            </w:r>
          </w:p>
        </w:tc>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GBM + Jump Diffusion (Merton)</w:t>
            </w:r>
          </w:p>
        </w:tc>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Trend-following; discrete contract/shock events</w:t>
            </w:r>
          </w:p>
        </w:tc>
      </w:tr>
    </w:tbl>
    <w:p>
      <w:pPr>
        <w:spacing w:before="80" w:after="80" w:line="320"/>
      </w:pPr>
      <w:r>
        <w:rPr>
          <w:color w:val="1E293B"/>
          <w:sz w:val="20"/>
          <w:szCs w:val="20"/>
          <w:rFonts w:ascii="Calibri" w:cs="Calibri" w:eastAsia="Calibri" w:hAnsi="Calibri"/>
        </w:rPr>
        <w:t xml:space="preserve">Model parameters are stored in physics-config.json (schema v1.8-consumer-staples) per ticker. Parameters requiring live market data — beta, dividend yield, and long-term mean price — are computed dynamically at simulation time by osirisIngestion.js.</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3.2  Data Ingestion  (osirisIngestion.js)</w:t>
      </w:r>
    </w:p>
    <w:p>
      <w:pPr>
        <w:pStyle w:val="Heading3"/>
        <w:spacing w:before="280" w:after="120"/>
      </w:pPr>
      <w:r>
        <w:rPr>
          <w:b/>
          <w:bCs/>
          <w:color w:val="1D4ED8"/>
          <w:sz w:val="22"/>
          <w:szCs w:val="22"/>
          <w:rFonts w:ascii="Calibri" w:cs="Calibri" w:eastAsia="Calibri" w:hAnsi="Calibri"/>
        </w:rPr>
        <w:t xml:space="preserve">Caching Architecture</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rPr>
          <w:tblHeader/>
        </w:trPr>
        <w:tc>
          <w:tcPr>
            <w:tcW w:type="dxa" w:w="23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Layer</w:t>
            </w:r>
          </w:p>
        </w:tc>
        <w:tc>
          <w:tcPr>
            <w:tcW w:type="dxa" w:w="27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Store</w:t>
            </w:r>
          </w:p>
        </w:tc>
        <w:tc>
          <w:tcPr>
            <w:tcW w:type="dxa" w:w="18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TTL</w:t>
            </w:r>
          </w:p>
        </w:tc>
        <w:tc>
          <w:tcPr>
            <w:tcW w:type="dxa" w:w="23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Key</w:t>
            </w:r>
          </w:p>
        </w:tc>
      </w:tr>
      <w:tr>
        <w:tc>
          <w:tcPr>
            <w:tcW w:type="dxa" w:w="2300"/>
            <w:tcMar>
              <w:top w:type="dxa" w:w="80"/>
              <w:left w:type="dxa" w:w="120"/>
              <w:bottom w:type="dxa" w:w="80"/>
              <w:right w:type="dxa" w:w="120"/>
            </w:tcMar>
          </w:tcPr>
          <w:p>
            <w:r>
              <w:rPr>
                <w:color w:val="1E293B"/>
                <w:sz w:val="18"/>
                <w:szCs w:val="18"/>
                <w:rFonts w:ascii="Calibri" w:cs="Calibri" w:eastAsia="Calibri" w:hAnsi="Calibri"/>
              </w:rPr>
              <w:t xml:space="preserve">Historical prices</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IndexedDB (OsirisTickerCache)</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24 hours</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ticker + schema version</w:t>
            </w:r>
          </w:p>
        </w:tc>
      </w:tr>
      <w:tr>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Macro hubs</w:t>
            </w:r>
          </w:p>
        </w:tc>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localStorage</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24 hours</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osiris_macro_hubs</w:t>
            </w:r>
          </w:p>
        </w:tc>
      </w:tr>
      <w:tr>
        <w:tc>
          <w:tcPr>
            <w:tcW w:type="dxa" w:w="2300"/>
            <w:tcMar>
              <w:top w:type="dxa" w:w="80"/>
              <w:left w:type="dxa" w:w="120"/>
              <w:bottom w:type="dxa" w:w="80"/>
              <w:right w:type="dxa" w:w="120"/>
            </w:tcMar>
          </w:tcPr>
          <w:p>
            <w:r>
              <w:rPr>
                <w:color w:val="1E293B"/>
                <w:sz w:val="18"/>
                <w:szCs w:val="18"/>
                <w:rFonts w:ascii="Calibri" w:cs="Calibri" w:eastAsia="Calibri" w:hAnsi="Calibri"/>
              </w:rPr>
              <w:t xml:space="preserve">Intraday vol</w:t>
            </w:r>
          </w:p>
        </w:tc>
        <w:tc>
          <w:tcPr>
            <w:tcW w:type="dxa" w:w="2760"/>
            <w:tcMar>
              <w:top w:type="dxa" w:w="80"/>
              <w:left w:type="dxa" w:w="120"/>
              <w:bottom w:type="dxa" w:w="80"/>
              <w:right w:type="dxa" w:w="120"/>
            </w:tcMar>
          </w:tcPr>
          <w:p>
            <w:r>
              <w:rPr>
                <w:color w:val="1E293B"/>
                <w:sz w:val="18"/>
                <w:szCs w:val="18"/>
                <w:rFonts w:ascii="Calibri" w:cs="Calibri" w:eastAsia="Calibri" w:hAnsi="Calibri"/>
              </w:rPr>
              <w:t xml:space="preserve">Session memo</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Session</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ticker</w:t>
            </w:r>
          </w:p>
        </w:tc>
      </w:tr>
      <w:tr>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Earnings date</w:t>
            </w:r>
          </w:p>
        </w:tc>
        <w:tc>
          <w:tcPr>
            <w:tcW w:type="dxa" w:w="27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Session memo</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24 hours</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ticker</w:t>
            </w:r>
          </w:p>
        </w:tc>
      </w:tr>
    </w:tbl>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Historical Data Fetch</w:t>
      </w:r>
    </w:p>
    <w:p>
      <w:pPr>
        <w:spacing w:before="80" w:after="80" w:line="320"/>
      </w:pPr>
      <w:r>
        <w:rPr>
          <w:color w:val="1E293B"/>
          <w:sz w:val="20"/>
          <w:szCs w:val="20"/>
          <w:rFonts w:ascii="Calibri" w:cs="Calibri" w:eastAsia="Calibri" w:hAnsi="Calibri"/>
        </w:rPr>
        <w:t xml:space="preserve">Route: yahoo-proxy.js?mode=history&amp;range=1y</w:t>
      </w:r>
    </w:p>
    <w:p>
      <w:pPr>
        <w:spacing w:before="80" w:after="80" w:line="320"/>
      </w:pPr>
      <w:r>
        <w:rPr>
          <w:color w:val="1E293B"/>
          <w:sz w:val="20"/>
          <w:szCs w:val="20"/>
          <w:rFonts w:ascii="Calibri" w:cs="Calibri" w:eastAsia="Calibri" w:hAnsi="Calibri"/>
        </w:rPr>
        <w:t xml:space="preserve">Returns: series [{date, adjClose}] — daily adjusted close prices for 1 year; dividends [{date, amount}] — cash dividends with ex-dates; currentPrice — latest market price.</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Beta Computation (OLS vs SPY)</w:t>
      </w:r>
    </w:p>
    <w:p>
      <w:pPr>
        <w:pStyle w:val="ListParagraph"/>
        <w:numPr>
          <w:ilvl w:val="0"/>
          <w:numId w:val="1"/>
        </w:numPr>
        <w:spacing w:before="40" w:after="40" w:line="300"/>
        <w:ind w:left="360"/>
      </w:pPr>
      <w:r>
        <w:rPr>
          <w:color w:val="1E293B"/>
          <w:sz w:val="20"/>
          <w:szCs w:val="20"/>
          <w:rFonts w:ascii="Calibri" w:cs="Calibri" w:eastAsia="Calibri" w:hAnsi="Calibri"/>
        </w:rPr>
        <w:t xml:space="preserve">Fetch SPY historical series using the same route</w:t>
      </w:r>
    </w:p>
    <w:p>
      <w:pPr>
        <w:pStyle w:val="ListParagraph"/>
        <w:numPr>
          <w:ilvl w:val="0"/>
          <w:numId w:val="1"/>
        </w:numPr>
        <w:spacing w:before="40" w:after="40" w:line="300"/>
        <w:ind w:left="360"/>
      </w:pPr>
      <w:r>
        <w:rPr>
          <w:color w:val="1E293B"/>
          <w:sz w:val="20"/>
          <w:szCs w:val="20"/>
          <w:rFonts w:ascii="Calibri" w:cs="Calibri" w:eastAsia="Calibri" w:hAnsi="Calibri"/>
        </w:rPr>
        <w:t xml:space="preserve">Align dates between stock and benchmark (intersection, minimum 30 shared days)</w:t>
      </w:r>
    </w:p>
    <w:p>
      <w:pPr>
        <w:pStyle w:val="ListParagraph"/>
        <w:numPr>
          <w:ilvl w:val="0"/>
          <w:numId w:val="1"/>
        </w:numPr>
        <w:spacing w:before="40" w:after="40" w:line="300"/>
        <w:ind w:left="360"/>
      </w:pPr>
      <w:r>
        <w:rPr>
          <w:color w:val="1E293B"/>
          <w:sz w:val="20"/>
          <w:szCs w:val="20"/>
          <w:rFonts w:ascii="Calibri" w:cs="Calibri" w:eastAsia="Calibri" w:hAnsi="Calibri"/>
        </w:rPr>
        <w:t xml:space="preserve">Compute log-returns for both: r_t = log(P_t / P_{t−1})</w:t>
      </w:r>
    </w:p>
    <w:p>
      <w:pPr>
        <w:spacing w:before="80" w:after="80"/>
      </w:pPr>
      <w:r>
        <w:t xml:space="preserve"/>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β = cov(stockReturns, SPYReturns) / var(SPYReturns)</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Dividend Yield</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dividendYield = sum(dividends in trailing 365 days) / currentPrice</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Long-Term Mean Price</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longTermMeanPrice = arithmetic mean of adjClose over 1 year  (min. 30 observations)</w:t>
      </w:r>
    </w:p>
    <w:p>
      <w:pPr>
        <w:spacing w:before="80" w:after="80" w:line="320"/>
      </w:pPr>
      <w:r>
        <w:rPr>
          <w:color w:val="1E293B"/>
          <w:sz w:val="20"/>
          <w:szCs w:val="20"/>
          <w:rFonts w:ascii="Calibri" w:cs="Calibri" w:eastAsia="Calibri" w:hAnsi="Calibri"/>
        </w:rPr>
        <w:t xml:space="preserve">Used as the OU mean-reversion target.</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Annualized Realized Volatility (Daily)</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σ_annual = stdDev(dailyLogReturns) × √252</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Intraday Realized Volatility (Short Horizons ≤ 7 Days)</w:t>
      </w:r>
    </w:p>
    <w:p>
      <w:pPr>
        <w:spacing w:before="80" w:after="80" w:line="320"/>
      </w:pPr>
      <w:r>
        <w:rPr>
          <w:color w:val="1E293B"/>
          <w:sz w:val="20"/>
          <w:szCs w:val="20"/>
          <w:rFonts w:ascii="Calibri" w:cs="Calibri" w:eastAsia="Calibri" w:hAnsi="Calibri"/>
        </w:rPr>
        <w:t xml:space="preserve">When the simulation horizon is 7 calendar days or fewer, the engine switches from daily to intraday volatility:</w:t>
      </w:r>
    </w:p>
    <w:p>
      <w:pPr>
        <w:pStyle w:val="ListParagraph"/>
        <w:numPr>
          <w:ilvl w:val="0"/>
          <w:numId w:val="1"/>
        </w:numPr>
        <w:spacing w:before="40" w:after="40" w:line="300"/>
        <w:ind w:left="360"/>
      </w:pPr>
      <w:r>
        <w:rPr>
          <w:color w:val="1E293B"/>
          <w:sz w:val="20"/>
          <w:szCs w:val="20"/>
          <w:rFonts w:ascii="Calibri" w:cs="Calibri" w:eastAsia="Calibri" w:hAnsi="Calibri"/>
        </w:rPr>
        <w:t xml:space="preserve">Fetch 5-minute bars (30-day history, 5-minute interval)</w:t>
      </w:r>
    </w:p>
    <w:p>
      <w:pPr>
        <w:pStyle w:val="ListParagraph"/>
        <w:numPr>
          <w:ilvl w:val="0"/>
          <w:numId w:val="1"/>
        </w:numPr>
        <w:spacing w:before="40" w:after="40" w:line="300"/>
        <w:ind w:left="360"/>
      </w:pPr>
      <w:r>
        <w:rPr>
          <w:color w:val="1E293B"/>
          <w:sz w:val="20"/>
          <w:szCs w:val="20"/>
          <w:rFonts w:ascii="Calibri" w:cs="Calibri" w:eastAsia="Calibri" w:hAnsi="Calibri"/>
        </w:rPr>
        <w:t xml:space="preserve">Group bars by UTC trading date</w:t>
      </w:r>
    </w:p>
    <w:p>
      <w:pPr>
        <w:pStyle w:val="ListParagraph"/>
        <w:numPr>
          <w:ilvl w:val="0"/>
          <w:numId w:val="1"/>
        </w:numPr>
        <w:spacing w:before="40" w:after="40" w:line="300"/>
        <w:ind w:left="360"/>
      </w:pPr>
      <w:r>
        <w:rPr>
          <w:color w:val="1E293B"/>
          <w:sz w:val="20"/>
          <w:szCs w:val="20"/>
          <w:rFonts w:ascii="Calibri" w:cs="Calibri" w:eastAsia="Calibri" w:hAnsi="Calibri"/>
        </w:rPr>
        <w:t xml:space="preserve">Per-day realized variance including overnight gap:</w:t>
      </w:r>
    </w:p>
    <w:p>
      <w:pPr>
        <w:spacing w:before="80" w:after="80"/>
      </w:pPr>
      <w:r>
        <w:t xml:space="preserve"/>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RV_day = Σ(log(bar_t / bar_{t−1}))² + (log(open_today / close_yesterday))²</w:t>
      </w:r>
    </w:p>
    <w:p>
      <w:pPr>
        <w:spacing w:before="80" w:after="80"/>
      </w:pPr>
      <w:r>
        <w:t xml:space="preserve"/>
      </w:r>
    </w:p>
    <w:p>
      <w:pPr>
        <w:pStyle w:val="ListParagraph"/>
        <w:numPr>
          <w:ilvl w:val="0"/>
          <w:numId w:val="1"/>
        </w:numPr>
        <w:spacing w:before="40" w:after="40" w:line="300"/>
        <w:ind w:left="360"/>
      </w:pPr>
      <w:r>
        <w:rPr>
          <w:color w:val="1E293B"/>
          <w:sz w:val="20"/>
          <w:szCs w:val="20"/>
          <w:rFonts w:ascii="Calibri" w:cs="Calibri" w:eastAsia="Calibri" w:hAnsi="Calibri"/>
        </w:rPr>
        <w:t xml:space="preserve">Mean of last 20 trading days (minimum 10 intraday bars per day required)</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σ_annual = √(mean(RV_daily) × 252)</w:t>
      </w:r>
    </w:p>
    <w:p>
      <w:pPr>
        <w:spacing w:before="80" w:after="80" w:line="320"/>
      </w:pPr>
      <w:r>
        <w:rPr>
          <w:color w:val="1E293B"/>
          <w:sz w:val="20"/>
          <w:szCs w:val="20"/>
          <w:rFonts w:ascii="Calibri" w:cs="Calibri" w:eastAsia="Calibri" w:hAnsi="Calibri"/>
        </w:rPr>
        <w:t xml:space="preserve">Falls back to daily RV if 5-minute data is unavailable.</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Macro Hubs</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US10Y = FRED DGS10 / 100        (fallback: 0.045)</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VIX   = FRED VIXCLS             (fallback: 15.2)</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Earnings Catalyst</w:t>
      </w:r>
    </w:p>
    <w:p>
      <w:pPr>
        <w:spacing w:before="80" w:after="80" w:line="320"/>
      </w:pPr>
      <w:r>
        <w:rPr>
          <w:color w:val="1E293B"/>
          <w:sz w:val="20"/>
          <w:szCs w:val="20"/>
          <w:rFonts w:ascii="Calibri" w:cs="Calibri" w:eastAsia="Calibri" w:hAnsi="Calibri"/>
        </w:rPr>
        <w:t xml:space="preserve">Route: yahoo-proxy.js?mode=earnings&amp;symbol=X. If the next earnings date falls within the simulation horizon (horizon ≤ 21 days), volatility is multiplied by 2.5× at that step to model earnings uncertainty.</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3.3  Simulation Parameters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32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Parameter</w:t>
            </w:r>
          </w:p>
        </w:tc>
        <w:tc>
          <w:tcPr>
            <w:tcW w:type="dxa" w:w="598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Source</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initialPrice</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currentPrice from ingestion</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drift</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US10Y (live) − dividendYield (live)</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volatility</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σ_annual from ingestion (daily or intraday)</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steps</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252 (annual) or intraday step count</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paths</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Device-capped (see §3.4)</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physicsType</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OU or GBM_JUMP per ticker</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physicsParams</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From physics-config.json per ticker</w:t>
            </w:r>
          </w:p>
        </w:tc>
      </w:tr>
      <w:tr>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antithetic</w:t>
            </w:r>
          </w:p>
        </w:tc>
        <w:tc>
          <w:tcPr>
            <w:tcW w:type="dxa" w:w="598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true (variance reduction enabled)</w:t>
            </w:r>
          </w:p>
        </w:tc>
      </w:tr>
      <w:tr>
        <w:tc>
          <w:tcPr>
            <w:tcW w:type="dxa" w:w="3220"/>
            <w:tcMar>
              <w:top w:type="dxa" w:w="80"/>
              <w:left w:type="dxa" w:w="120"/>
              <w:bottom w:type="dxa" w:w="80"/>
              <w:right w:type="dxa" w:w="120"/>
            </w:tcMar>
          </w:tcPr>
          <w:p>
            <w:r>
              <w:rPr>
                <w:color w:val="1E293B"/>
                <w:sz w:val="18"/>
                <w:szCs w:val="18"/>
                <w:rFonts w:ascii="Calibri" w:cs="Calibri" w:eastAsia="Calibri" w:hAnsi="Calibri"/>
              </w:rPr>
              <w:t xml:space="preserve">intradaySteps</w:t>
            </w:r>
          </w:p>
        </w:tc>
        <w:tc>
          <w:tcPr>
            <w:tcW w:type="dxa" w:w="5980"/>
            <w:tcMar>
              <w:top w:type="dxa" w:w="80"/>
              <w:left w:type="dxa" w:w="120"/>
              <w:bottom w:type="dxa" w:w="80"/>
              <w:right w:type="dxa" w:w="120"/>
            </w:tcMar>
          </w:tcPr>
          <w:p>
            <w:r>
              <w:rPr>
                <w:color w:val="1E293B"/>
                <w:sz w:val="18"/>
                <w:szCs w:val="18"/>
                <w:rFonts w:ascii="Calibri" w:cs="Calibri" w:eastAsia="Calibri" w:hAnsi="Calibri"/>
              </w:rPr>
              <w:t xml:space="preserve">78 (1-day), 2 (1-week), 1 otherwise</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3.4  Device Path Limits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rPr>
          <w:tblHeader/>
        </w:trPr>
        <w:tc>
          <w:tcPr>
            <w:tcW w:type="dxa" w:w="18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Device Class</w:t>
            </w:r>
          </w:p>
        </w:tc>
        <w:tc>
          <w:tcPr>
            <w:tcW w:type="dxa" w:w="3496"/>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Condition</w:t>
            </w:r>
          </w:p>
        </w:tc>
        <w:tc>
          <w:tcPr>
            <w:tcW w:type="dxa" w:w="1932"/>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Standard Paths</w:t>
            </w:r>
          </w:p>
        </w:tc>
        <w:tc>
          <w:tcPr>
            <w:tcW w:type="dxa" w:w="1932"/>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HI-FI Paths</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Mobile</w:t>
            </w:r>
          </w:p>
        </w:tc>
        <w:tc>
          <w:tcPr>
            <w:tcW w:type="dxa" w:w="3496"/>
            <w:tcMar>
              <w:top w:type="dxa" w:w="80"/>
              <w:left w:type="dxa" w:w="120"/>
              <w:bottom w:type="dxa" w:w="80"/>
              <w:right w:type="dxa" w:w="120"/>
            </w:tcMar>
          </w:tcPr>
          <w:p>
            <w:r>
              <w:rPr>
                <w:color w:val="1E293B"/>
                <w:sz w:val="18"/>
                <w:szCs w:val="18"/>
                <w:rFonts w:ascii="Calibri" w:cs="Calibri" w:eastAsia="Calibri" w:hAnsi="Calibri"/>
              </w:rPr>
              <w:t xml:space="preserve">Coarse pointer OR width &lt; 768px OR ≤ 2 GB RAM</w:t>
            </w:r>
          </w:p>
        </w:tc>
        <w:tc>
          <w:tcPr>
            <w:tcW w:type="dxa" w:w="1932"/>
            <w:tcMar>
              <w:top w:type="dxa" w:w="80"/>
              <w:left w:type="dxa" w:w="120"/>
              <w:bottom w:type="dxa" w:w="80"/>
              <w:right w:type="dxa" w:w="120"/>
            </w:tcMar>
          </w:tcPr>
          <w:p>
            <w:r>
              <w:rPr>
                <w:color w:val="1E293B"/>
                <w:sz w:val="18"/>
                <w:szCs w:val="18"/>
                <w:rFonts w:ascii="Calibri" w:cs="Calibri" w:eastAsia="Calibri" w:hAnsi="Calibri"/>
              </w:rPr>
              <w:t xml:space="preserve">10,000</w:t>
            </w:r>
          </w:p>
        </w:tc>
        <w:tc>
          <w:tcPr>
            <w:tcW w:type="dxa" w:w="1932"/>
            <w:tcMar>
              <w:top w:type="dxa" w:w="80"/>
              <w:left w:type="dxa" w:w="120"/>
              <w:bottom w:type="dxa" w:w="80"/>
              <w:right w:type="dxa" w:w="120"/>
            </w:tcMar>
          </w:tcPr>
          <w:p>
            <w:r>
              <w:rPr>
                <w:color w:val="1E293B"/>
                <w:sz w:val="18"/>
                <w:szCs w:val="18"/>
                <w:rFonts w:ascii="Calibri" w:cs="Calibri" w:eastAsia="Calibri" w:hAnsi="Calibri"/>
              </w:rPr>
              <w:t xml:space="preserve">N/A</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Desktop Low</w:t>
            </w:r>
          </w:p>
        </w:tc>
        <w:tc>
          <w:tcPr>
            <w:tcW w:type="dxa" w:w="349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&lt; 8 GB or &lt; 8 cores</w:t>
            </w:r>
          </w:p>
        </w:tc>
        <w:tc>
          <w:tcPr>
            <w:tcW w:type="dxa" w:w="1932"/>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25,000</w:t>
            </w:r>
          </w:p>
        </w:tc>
        <w:tc>
          <w:tcPr>
            <w:tcW w:type="dxa" w:w="1932"/>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50,000</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Desktop High</w:t>
            </w:r>
          </w:p>
        </w:tc>
        <w:tc>
          <w:tcPr>
            <w:tcW w:type="dxa" w:w="3496"/>
            <w:tcMar>
              <w:top w:type="dxa" w:w="80"/>
              <w:left w:type="dxa" w:w="120"/>
              <w:bottom w:type="dxa" w:w="80"/>
              <w:right w:type="dxa" w:w="120"/>
            </w:tcMar>
          </w:tcPr>
          <w:p>
            <w:r>
              <w:rPr>
                <w:color w:val="1E293B"/>
                <w:sz w:val="18"/>
                <w:szCs w:val="18"/>
                <w:rFonts w:ascii="Calibri" w:cs="Calibri" w:eastAsia="Calibri" w:hAnsi="Calibri"/>
              </w:rPr>
              <w:t xml:space="preserve">≥ 8 GB and ≥ 8 cores</w:t>
            </w:r>
          </w:p>
        </w:tc>
        <w:tc>
          <w:tcPr>
            <w:tcW w:type="dxa" w:w="1932"/>
            <w:tcMar>
              <w:top w:type="dxa" w:w="80"/>
              <w:left w:type="dxa" w:w="120"/>
              <w:bottom w:type="dxa" w:w="80"/>
              <w:right w:type="dxa" w:w="120"/>
            </w:tcMar>
          </w:tcPr>
          <w:p>
            <w:r>
              <w:rPr>
                <w:color w:val="1E293B"/>
                <w:sz w:val="18"/>
                <w:szCs w:val="18"/>
                <w:rFonts w:ascii="Calibri" w:cs="Calibri" w:eastAsia="Calibri" w:hAnsi="Calibri"/>
              </w:rPr>
              <w:t xml:space="preserve">25,000</w:t>
            </w:r>
          </w:p>
        </w:tc>
        <w:tc>
          <w:tcPr>
            <w:tcW w:type="dxa" w:w="1932"/>
            <w:tcMar>
              <w:top w:type="dxa" w:w="80"/>
              <w:left w:type="dxa" w:w="120"/>
              <w:bottom w:type="dxa" w:w="80"/>
              <w:right w:type="dxa" w:w="120"/>
            </w:tcMar>
          </w:tcPr>
          <w:p>
            <w:r>
              <w:rPr>
                <w:color w:val="1E293B"/>
                <w:sz w:val="18"/>
                <w:szCs w:val="18"/>
                <w:rFonts w:ascii="Calibri" w:cs="Calibri" w:eastAsia="Calibri" w:hAnsi="Calibri"/>
              </w:rPr>
              <w:t xml:space="preserve">up to 250,000</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3.5  Stochastic Engines  (stochasticWorker.js)</w:t>
      </w:r>
    </w:p>
    <w:p>
      <w:pPr>
        <w:pStyle w:val="Heading3"/>
        <w:spacing w:before="280" w:after="120"/>
      </w:pPr>
      <w:r>
        <w:rPr>
          <w:b/>
          <w:bCs/>
          <w:color w:val="1D4ED8"/>
          <w:sz w:val="22"/>
          <w:szCs w:val="22"/>
          <w:rFonts w:ascii="Calibri" w:cs="Calibri" w:eastAsia="Calibri" w:hAnsi="Calibri"/>
        </w:rPr>
        <w:t xml:space="preserve">Normal Random Variate Generation (Box-Muller)</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u, v ~ Uniform(0, 1)</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Z = √(−2 · ln(u)) · cos(2π · v)</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Antithetic Variance Reduction</w:t>
      </w:r>
    </w:p>
    <w:p>
      <w:pPr>
        <w:spacing w:before="80" w:after="80" w:line="320"/>
      </w:pPr>
      <w:r>
        <w:rPr>
          <w:color w:val="1E293B"/>
          <w:sz w:val="20"/>
          <w:szCs w:val="20"/>
          <w:rFonts w:ascii="Calibri" w:cs="Calibri" w:eastAsia="Calibri" w:hAnsi="Calibri"/>
        </w:rPr>
        <w:t xml:space="preserve">For each pair of paths (2i, 2i+1), the Brownian shock for path 2i+1 is the sign-flip of path 2i:</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Z_{2i+1} = −Z_{2i}</w:t>
      </w:r>
    </w:p>
    <w:p>
      <w:pPr>
        <w:spacing w:before="80" w:after="80" w:line="320"/>
      </w:pPr>
      <w:r>
        <w:rPr>
          <w:color w:val="1E293B"/>
          <w:sz w:val="20"/>
          <w:szCs w:val="20"/>
          <w:rFonts w:ascii="Calibri" w:cs="Calibri" w:eastAsia="Calibri" w:hAnsi="Calibri"/>
        </w:rPr>
        <w:t xml:space="preserve">Jump events are drawn independently for each path to preserve jump distribution properties.</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Ornstein-Uhlenbeck Process (Energy &amp; Utilities)</w:t>
      </w:r>
    </w:p>
    <w:p>
      <w:pPr>
        <w:spacing w:before="80" w:after="80" w:line="320"/>
      </w:pPr>
      <w:r>
        <w:rPr>
          <w:color w:val="1E293B"/>
          <w:sz w:val="20"/>
          <w:szCs w:val="20"/>
          <w:rFonts w:ascii="Calibri" w:cs="Calibri" w:eastAsia="Calibri" w:hAnsi="Calibri"/>
        </w:rPr>
        <w:t xml:space="preserve">Discrete-time proportional form:</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S_{t+1} = S_t + θ(μ − S_t)dt + σ · S_t · Z · √dt</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9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Parameter</w:t>
            </w:r>
          </w:p>
        </w:tc>
        <w:tc>
          <w:tcPr>
            <w:tcW w:type="dxa" w:w="50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Description</w:t>
            </w:r>
          </w:p>
        </w:tc>
        <w:tc>
          <w:tcPr>
            <w:tcW w:type="dxa" w:w="322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Typical Range</w:t>
            </w:r>
          </w:p>
        </w:tc>
      </w:tr>
      <w:tr>
        <w:tc>
          <w:tcPr>
            <w:tcW w:type="dxa" w:w="920"/>
            <w:tcMar>
              <w:top w:type="dxa" w:w="80"/>
              <w:left w:type="dxa" w:w="120"/>
              <w:bottom w:type="dxa" w:w="80"/>
              <w:right w:type="dxa" w:w="120"/>
            </w:tcMar>
          </w:tcPr>
          <w:p>
            <w:r>
              <w:rPr>
                <w:color w:val="1E293B"/>
                <w:sz w:val="18"/>
                <w:szCs w:val="18"/>
                <w:rFonts w:ascii="Calibri" w:cs="Calibri" w:eastAsia="Calibri" w:hAnsi="Calibri"/>
              </w:rPr>
              <w:t xml:space="preserve">θ</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Mean reversion speed (reversionSpeedTheta)</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0.10 – 0.20</w:t>
            </w:r>
          </w:p>
        </w:tc>
      </w:tr>
      <w:tr>
        <w:tc>
          <w:tcPr>
            <w:tcW w:type="dxa" w:w="9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μ</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Long-term mean price (1-year arithmetic mean)</w:t>
            </w:r>
          </w:p>
        </w:tc>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Computed live</w:t>
            </w:r>
          </w:p>
        </w:tc>
      </w:tr>
      <w:tr>
        <w:tc>
          <w:tcPr>
            <w:tcW w:type="dxa" w:w="920"/>
            <w:tcMar>
              <w:top w:type="dxa" w:w="80"/>
              <w:left w:type="dxa" w:w="120"/>
              <w:bottom w:type="dxa" w:w="80"/>
              <w:right w:type="dxa" w:w="120"/>
            </w:tcMar>
          </w:tcPr>
          <w:p>
            <w:r>
              <w:rPr>
                <w:color w:val="1E293B"/>
                <w:sz w:val="18"/>
                <w:szCs w:val="18"/>
                <w:rFonts w:ascii="Calibri" w:cs="Calibri" w:eastAsia="Calibri" w:hAnsi="Calibri"/>
              </w:rPr>
              <w:t xml:space="preserve">σ</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Annualized volatility</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0.15 – 0.32</w:t>
            </w:r>
          </w:p>
        </w:tc>
      </w:tr>
      <w:tr>
        <w:tc>
          <w:tcPr>
            <w:tcW w:type="dxa" w:w="9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dt</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 / (252 × intradaySteps)</w:t>
            </w:r>
          </w:p>
        </w:tc>
        <w:tc>
          <w:tcPr>
            <w:tcW w:type="dxa" w:w="322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Step-size dependent</w:t>
            </w:r>
          </w:p>
        </w:tc>
      </w:tr>
      <w:tr>
        <w:tc>
          <w:tcPr>
            <w:tcW w:type="dxa" w:w="920"/>
            <w:tcMar>
              <w:top w:type="dxa" w:w="80"/>
              <w:left w:type="dxa" w:w="120"/>
              <w:bottom w:type="dxa" w:w="80"/>
              <w:right w:type="dxa" w:w="120"/>
            </w:tcMar>
          </w:tcPr>
          <w:p>
            <w:r>
              <w:rPr>
                <w:color w:val="1E293B"/>
                <w:sz w:val="18"/>
                <w:szCs w:val="18"/>
                <w:rFonts w:ascii="Calibri" w:cs="Calibri" w:eastAsia="Calibri" w:hAnsi="Calibri"/>
              </w:rPr>
              <w:t xml:space="preserve">Z</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Standard normal variate (Box-Muller)</w:t>
            </w:r>
          </w:p>
        </w:tc>
        <w:tc>
          <w:tcPr>
            <w:tcW w:type="dxa" w:w="3220"/>
            <w:tcMar>
              <w:top w:type="dxa" w:w="80"/>
              <w:left w:type="dxa" w:w="120"/>
              <w:bottom w:type="dxa" w:w="80"/>
              <w:right w:type="dxa" w:w="120"/>
            </w:tcMar>
          </w:tcPr>
          <w:p>
            <w:r>
              <w:rPr>
                <w:color w:val="1E293B"/>
                <w:sz w:val="18"/>
                <w:szCs w:val="18"/>
                <w:rFonts w:ascii="Calibri" w:cs="Calibri" w:eastAsia="Calibri" w:hAnsi="Calibri"/>
              </w:rPr>
              <w:t xml:space="preserve">Sampled per step</w:t>
            </w:r>
          </w:p>
        </w:tc>
      </w:tr>
    </w:tbl>
    <w:p>
      <w:pPr>
        <w:spacing w:before="80" w:after="80" w:line="320"/>
      </w:pPr>
      <w:r>
        <w:rPr>
          <w:color w:val="1E293B"/>
          <w:sz w:val="20"/>
          <w:szCs w:val="20"/>
          <w:rFonts w:ascii="Calibri" w:cs="Calibri" w:eastAsia="Calibri" w:hAnsi="Calibri"/>
        </w:rPr>
        <w:t xml:space="preserve">The proportional shock term σ · S_t makes volatility scale with price level, preventing negative prices.</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GBM + Jump Diffusion Process — Merton (1976)  (Industrials &amp; Defense)</w:t>
      </w:r>
    </w:p>
    <w:p>
      <w:pPr>
        <w:spacing w:before="80" w:after="80" w:line="320"/>
      </w:pPr>
      <w:r>
        <w:rPr>
          <w:color w:val="1E293B"/>
          <w:sz w:val="20"/>
          <w:szCs w:val="20"/>
          <w:rFonts w:ascii="Calibri" w:cs="Calibri" w:eastAsia="Calibri" w:hAnsi="Calibri"/>
        </w:rPr>
        <w:t xml:space="preserve">Exact discrete form with Itô correction and Merton jump compensator:</w:t>
      </w:r>
    </w:p>
    <w:p>
      <w:pPr>
        <w:spacing w:before="80" w:after="80"/>
      </w:pPr>
      <w:r>
        <w:t xml:space="preserve"/>
      </w:r>
    </w:p>
    <w:p>
      <w:pPr>
        <w:spacing w:before="80" w:after="80" w:line="320"/>
      </w:pPr>
      <w:r>
        <w:rPr>
          <w:b/>
          <w:bCs/>
          <w:color w:val="1E293B"/>
          <w:sz w:val="20"/>
          <w:szCs w:val="20"/>
          <w:rFonts w:ascii="Calibri" w:cs="Calibri" w:eastAsia="Calibri" w:hAnsi="Calibri"/>
        </w:rPr>
        <w:t xml:space="preserve">Jump compensator (maintains martingale property):</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compensator = λ · (exp(jumpMu + 0.5 · σ_J²) − 1)</w:t>
      </w:r>
    </w:p>
    <w:p>
      <w:pPr>
        <w:spacing w:before="80" w:after="80"/>
      </w:pPr>
      <w:r>
        <w:t xml:space="preserve"/>
      </w:r>
    </w:p>
    <w:p>
      <w:pPr>
        <w:spacing w:before="80" w:after="80" w:line="320"/>
      </w:pPr>
      <w:r>
        <w:rPr>
          <w:b/>
          <w:bCs/>
          <w:color w:val="1E293B"/>
          <w:sz w:val="20"/>
          <w:szCs w:val="20"/>
          <w:rFonts w:ascii="Calibri" w:cs="Calibri" w:eastAsia="Calibri" w:hAnsi="Calibri"/>
        </w:rPr>
        <w:t xml:space="preserve">Price evolution per step:</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logJump = N(jumpMu, σ_J²)  if U(0,1) &lt; λ·dt  else 0</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S_{t+1} = S_t · exp((drift − compensator) · dt + σ · √dt · Z + logJump)</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1104"/>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Parameter</w:t>
            </w:r>
          </w:p>
        </w:tc>
        <w:tc>
          <w:tcPr>
            <w:tcW w:type="dxa" w:w="50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Description</w:t>
            </w:r>
          </w:p>
        </w:tc>
        <w:tc>
          <w:tcPr>
            <w:tcW w:type="dxa" w:w="3036"/>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Typical Range</w:t>
            </w:r>
          </w:p>
        </w:tc>
      </w:tr>
      <w:tr>
        <w:tc>
          <w:tcPr>
            <w:tcW w:type="dxa" w:w="1104"/>
            <w:tcMar>
              <w:top w:type="dxa" w:w="80"/>
              <w:left w:type="dxa" w:w="120"/>
              <w:bottom w:type="dxa" w:w="80"/>
              <w:right w:type="dxa" w:w="120"/>
            </w:tcMar>
          </w:tcPr>
          <w:p>
            <w:r>
              <w:rPr>
                <w:color w:val="1E293B"/>
                <w:sz w:val="18"/>
                <w:szCs w:val="18"/>
                <w:rFonts w:ascii="Calibri" w:cs="Calibri" w:eastAsia="Calibri" w:hAnsi="Calibri"/>
              </w:rPr>
              <w:t xml:space="preserve">λ</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Jump frequency (events/year)</w:t>
            </w:r>
          </w:p>
        </w:tc>
        <w:tc>
          <w:tcPr>
            <w:tcW w:type="dxa" w:w="3036"/>
            <w:tcMar>
              <w:top w:type="dxa" w:w="80"/>
              <w:left w:type="dxa" w:w="120"/>
              <w:bottom w:type="dxa" w:w="80"/>
              <w:right w:type="dxa" w:w="120"/>
            </w:tcMar>
          </w:tcPr>
          <w:p>
            <w:r>
              <w:rPr>
                <w:color w:val="1E293B"/>
                <w:sz w:val="18"/>
                <w:szCs w:val="18"/>
                <w:rFonts w:ascii="Calibri" w:cs="Calibri" w:eastAsia="Calibri" w:hAnsi="Calibri"/>
              </w:rPr>
              <w:t xml:space="preserve">4 – 7</w:t>
            </w:r>
          </w:p>
        </w:tc>
      </w:tr>
      <w:tr>
        <w:tc>
          <w:tcPr>
            <w:tcW w:type="dxa" w:w="110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jumpMu</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Mean log-jump size (positive skew)</w:t>
            </w:r>
          </w:p>
        </w:tc>
        <w:tc>
          <w:tcPr>
            <w:tcW w:type="dxa" w:w="303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0.008 – 0.025</w:t>
            </w:r>
          </w:p>
        </w:tc>
      </w:tr>
      <w:tr>
        <w:tc>
          <w:tcPr>
            <w:tcW w:type="dxa" w:w="1104"/>
            <w:tcMar>
              <w:top w:type="dxa" w:w="80"/>
              <w:left w:type="dxa" w:w="120"/>
              <w:bottom w:type="dxa" w:w="80"/>
              <w:right w:type="dxa" w:w="120"/>
            </w:tcMar>
          </w:tcPr>
          <w:p>
            <w:r>
              <w:rPr>
                <w:color w:val="1E293B"/>
                <w:sz w:val="18"/>
                <w:szCs w:val="18"/>
                <w:rFonts w:ascii="Calibri" w:cs="Calibri" w:eastAsia="Calibri" w:hAnsi="Calibri"/>
              </w:rPr>
              <w:t xml:space="preserve">σ_J</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Jump vol (jumpStd), fixed 0.07 (7%)</w:t>
            </w:r>
          </w:p>
        </w:tc>
        <w:tc>
          <w:tcPr>
            <w:tcW w:type="dxa" w:w="3036"/>
            <w:tcMar>
              <w:top w:type="dxa" w:w="80"/>
              <w:left w:type="dxa" w:w="120"/>
              <w:bottom w:type="dxa" w:w="80"/>
              <w:right w:type="dxa" w:w="120"/>
            </w:tcMar>
          </w:tcPr>
          <w:p>
            <w:r>
              <w:rPr>
                <w:color w:val="1E293B"/>
                <w:sz w:val="18"/>
                <w:szCs w:val="18"/>
                <w:rFonts w:ascii="Calibri" w:cs="Calibri" w:eastAsia="Calibri" w:hAnsi="Calibri"/>
              </w:rPr>
              <w:t xml:space="preserve">Calibrated constant</w:t>
            </w:r>
          </w:p>
        </w:tc>
      </w:tr>
      <w:tr>
        <w:tc>
          <w:tcPr>
            <w:tcW w:type="dxa" w:w="110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Z</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Standard normal Brownian shock</w:t>
            </w:r>
          </w:p>
        </w:tc>
        <w:tc>
          <w:tcPr>
            <w:tcW w:type="dxa" w:w="303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Sampled per step</w:t>
            </w:r>
          </w:p>
        </w:tc>
      </w:tr>
    </w:tbl>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Percentile Extraction</w:t>
      </w:r>
    </w:p>
    <w:p>
      <w:pPr>
        <w:spacing w:before="80" w:after="80" w:line="320"/>
      </w:pPr>
      <w:r>
        <w:rPr>
          <w:color w:val="1E293B"/>
          <w:sz w:val="20"/>
          <w:szCs w:val="20"/>
          <w:rFonts w:ascii="Calibri" w:cs="Calibri" w:eastAsia="Calibri" w:hAnsi="Calibri"/>
        </w:rPr>
        <w:t xml:space="preserve">Terminal values (all paths at the final step) are sorted ascending. The following percentiles are extracted:</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18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Label</w:t>
            </w:r>
          </w:p>
        </w:tc>
        <w:tc>
          <w:tcPr>
            <w:tcW w:type="dxa" w:w="23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Percentile</w:t>
            </w:r>
          </w:p>
        </w:tc>
        <w:tc>
          <w:tcPr>
            <w:tcW w:type="dxa" w:w="50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Interpretation</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p05</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5th</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Stress floor</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p10</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10th</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Deep downside</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p25</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25th</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Bear case</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p45 – p55</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45th – 55th</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Central range (innermost band)</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p50</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50th</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Median / expected outcome</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p75</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75th</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Bull case</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p90</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90th</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Strong upside</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p95</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95th</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Upside ceiling</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pAboveSpot</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count(S_T &gt; S_0) / totalPaths</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3.6  Oracle — Probability Synthesis  (osirisOracle.js)</w:t>
      </w:r>
    </w:p>
    <w:p>
      <w:pPr>
        <w:pStyle w:val="Heading3"/>
        <w:spacing w:before="280" w:after="120"/>
      </w:pPr>
      <w:r>
        <w:rPr>
          <w:b/>
          <w:bCs/>
          <w:color w:val="1D4ED8"/>
          <w:sz w:val="22"/>
          <w:szCs w:val="22"/>
          <w:rFonts w:ascii="Calibri" w:cs="Calibri" w:eastAsia="Calibri" w:hAnsi="Calibri"/>
        </w:rPr>
        <w:t xml:space="preserve">Win Probability</w:t>
      </w:r>
    </w:p>
    <w:p>
      <w:pPr>
        <w:spacing w:before="80" w:after="80" w:line="320"/>
      </w:pPr>
      <w:r>
        <w:rPr>
          <w:color w:val="1E293B"/>
          <w:sz w:val="20"/>
          <w:szCs w:val="20"/>
          <w:rFonts w:ascii="Calibri" w:cs="Calibri" w:eastAsia="Calibri" w:hAnsi="Calibri"/>
        </w:rPr>
        <w:t xml:space="preserve">Primary: pAboveSpot from the worker (exact empirical count over all paths).</w:t>
      </w:r>
    </w:p>
    <w:p>
      <w:pPr>
        <w:spacing w:before="80" w:after="80"/>
      </w:pPr>
      <w:r>
        <w:t xml:space="preserve"/>
      </w:r>
    </w:p>
    <w:p>
      <w:pPr>
        <w:spacing w:before="80" w:after="80" w:line="320"/>
      </w:pPr>
      <w:r>
        <w:rPr>
          <w:b/>
          <w:bCs/>
          <w:color w:val="1E293B"/>
          <w:sz w:val="20"/>
          <w:szCs w:val="20"/>
          <w:rFonts w:ascii="Calibri" w:cs="Calibri" w:eastAsia="Calibri" w:hAnsi="Calibri"/>
        </w:rPr>
        <w:t xml:space="preserve">Fallback (Gaussian approximation — Abramowitz &amp; Stegun 7.1.26):</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impliedSigma = (p95 − p05) / (2 × 1.645)</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z = (p50 − currentPrice) / impliedSigma</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probability = Φ(z)  clamped to [1%, 99%]</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Output Structure</w:t>
      </w:r>
    </w:p>
    <w:p>
      <w:pPr>
        <w:pStyle w:val="ListParagraph"/>
        <w:numPr>
          <w:ilvl w:val="0"/>
          <w:numId w:val="1"/>
        </w:numPr>
        <w:spacing w:before="40" w:after="40" w:line="300"/>
        <w:ind w:left="360"/>
      </w:pPr>
      <w:r>
        <w:rPr>
          <w:color w:val="1E293B"/>
          <w:sz w:val="20"/>
          <w:szCs w:val="20"/>
          <w:rFonts w:ascii="Calibri" w:cs="Calibri" w:eastAsia="Calibri" w:hAnsi="Calibri"/>
        </w:rPr>
        <w:t xml:space="preserve">Headline: "X% probability that [TICKER] trades above $[spot] by Day [N]"</w:t>
      </w:r>
    </w:p>
    <w:p>
      <w:pPr>
        <w:pStyle w:val="ListParagraph"/>
        <w:numPr>
          <w:ilvl w:val="0"/>
          <w:numId w:val="1"/>
        </w:numPr>
        <w:spacing w:before="40" w:after="40" w:line="300"/>
        <w:ind w:left="360"/>
      </w:pPr>
      <w:r>
        <w:rPr>
          <w:color w:val="1E293B"/>
          <w:sz w:val="20"/>
          <w:szCs w:val="20"/>
          <w:rFonts w:ascii="Calibri" w:cs="Calibri" w:eastAsia="Calibri" w:hAnsi="Calibri"/>
        </w:rPr>
        <w:t xml:space="preserve">Badge row: Upside (p95), Expected (p50), Stress (p05) — each as % change from spot</w:t>
      </w:r>
    </w:p>
    <w:p>
      <w:pPr>
        <w:pStyle w:val="ListParagraph"/>
        <w:numPr>
          <w:ilvl w:val="0"/>
          <w:numId w:val="1"/>
        </w:numPr>
        <w:spacing w:before="40" w:after="40" w:line="300"/>
        <w:ind w:left="360"/>
      </w:pPr>
      <w:r>
        <w:rPr>
          <w:color w:val="1E293B"/>
          <w:sz w:val="20"/>
          <w:szCs w:val="20"/>
          <w:rFonts w:ascii="Calibri" w:cs="Calibri" w:eastAsia="Calibri" w:hAnsi="Calibri"/>
        </w:rPr>
        <w:t xml:space="preserve">Model assumptions: historical σ baseline, physics engine type, credit rating, beta, dividend yield</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3.7  Rendering Engine  (osirisCloudCanvas.js)</w:t>
      </w:r>
    </w:p>
    <w:p>
      <w:pPr>
        <w:pStyle w:val="Heading3"/>
        <w:spacing w:before="280" w:after="120"/>
      </w:pPr>
      <w:r>
        <w:rPr>
          <w:b/>
          <w:bCs/>
          <w:color w:val="1D4ED8"/>
          <w:sz w:val="22"/>
          <w:szCs w:val="22"/>
          <w:rFonts w:ascii="Calibri" w:cs="Calibri" w:eastAsia="Calibri" w:hAnsi="Calibri"/>
        </w:rPr>
        <w:t xml:space="preserve">Pass 1 — Background Layer</w:t>
      </w:r>
    </w:p>
    <w:p>
      <w:pPr>
        <w:pStyle w:val="ListParagraph"/>
        <w:numPr>
          <w:ilvl w:val="0"/>
          <w:numId w:val="1"/>
        </w:numPr>
        <w:spacing w:before="40" w:after="40" w:line="300"/>
        <w:ind w:left="360"/>
      </w:pPr>
      <w:r>
        <w:rPr>
          <w:color w:val="1E293B"/>
          <w:sz w:val="20"/>
          <w:szCs w:val="20"/>
          <w:rFonts w:ascii="Calibri" w:cs="Calibri" w:eastAsia="Calibri" w:hAnsi="Calibri"/>
        </w:rPr>
        <w:t xml:space="preserve">Dark background fill with scanline texture</w:t>
      </w:r>
    </w:p>
    <w:p>
      <w:pPr>
        <w:pStyle w:val="ListParagraph"/>
        <w:numPr>
          <w:ilvl w:val="0"/>
          <w:numId w:val="1"/>
        </w:numPr>
        <w:spacing w:before="40" w:after="40" w:line="300"/>
        <w:ind w:left="360"/>
      </w:pPr>
      <w:r>
        <w:rPr>
          <w:color w:val="1E293B"/>
          <w:sz w:val="20"/>
          <w:szCs w:val="20"/>
          <w:rFonts w:ascii="Calibri" w:cs="Calibri" w:eastAsia="Calibri" w:hAnsi="Calibri"/>
        </w:rPr>
        <w:t xml:space="preserve">Temporal anchor lines: Q1 (step 63), Q2 (126), Q3 (189), Terminal (252)</w:t>
      </w:r>
    </w:p>
    <w:p>
      <w:pPr>
        <w:pStyle w:val="ListParagraph"/>
        <w:numPr>
          <w:ilvl w:val="0"/>
          <w:numId w:val="1"/>
        </w:numPr>
        <w:spacing w:before="40" w:after="40" w:line="300"/>
        <w:ind w:left="360"/>
      </w:pPr>
      <w:r>
        <w:rPr>
          <w:color w:val="1E293B"/>
          <w:sz w:val="20"/>
          <w:szCs w:val="20"/>
          <w:rFonts w:ascii="Calibri" w:cs="Calibri" w:eastAsia="Calibri" w:hAnsi="Calibri"/>
        </w:rPr>
        <w:t xml:space="preserve">Spatial anchor lines: baseline price (dashed yellow), long-term mean (dashed cyan)</w:t>
      </w:r>
    </w:p>
    <w:p>
      <w:pPr>
        <w:pStyle w:val="ListParagraph"/>
        <w:numPr>
          <w:ilvl w:val="0"/>
          <w:numId w:val="1"/>
        </w:numPr>
        <w:spacing w:before="40" w:after="40" w:line="300"/>
        <w:ind w:left="360"/>
      </w:pPr>
      <w:r>
        <w:rPr>
          <w:color w:val="1E293B"/>
          <w:sz w:val="20"/>
          <w:szCs w:val="20"/>
          <w:rFonts w:ascii="Calibri" w:cs="Calibri" w:eastAsia="Calibri" w:hAnsi="Calibri"/>
        </w:rPr>
        <w:t xml:space="preserve">Axis labels and grid</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Pass 2 — Stochastic Layer</w:t>
      </w:r>
    </w:p>
    <w:p>
      <w:pPr>
        <w:spacing w:before="80" w:after="80" w:line="320"/>
      </w:pPr>
      <w:r>
        <w:rPr>
          <w:b/>
          <w:bCs/>
          <w:color w:val="1E293B"/>
          <w:sz w:val="20"/>
          <w:szCs w:val="20"/>
          <w:rFonts w:ascii="Calibri" w:cs="Calibri" w:eastAsia="Calibri" w:hAnsi="Calibri"/>
        </w:rPr>
        <w:t xml:space="preserve">OU mode (Energy/Utilities):</w:t>
      </w:r>
    </w:p>
    <w:p>
      <w:pPr>
        <w:pStyle w:val="ListParagraph"/>
        <w:numPr>
          <w:ilvl w:val="0"/>
          <w:numId w:val="1"/>
        </w:numPr>
        <w:spacing w:before="40" w:after="40" w:line="300"/>
        <w:ind w:left="360"/>
      </w:pPr>
      <w:r>
        <w:rPr>
          <w:color w:val="1E293B"/>
          <w:sz w:val="20"/>
          <w:szCs w:val="20"/>
          <w:rFonts w:ascii="Calibri" w:cs="Calibri" w:eastAsia="Calibri" w:hAnsi="Calibri"/>
        </w:rPr>
        <w:t xml:space="preserve">Graduated heatmap bands from p95–p05 (outermost, most transparent) to p45–p55 (densest)</w:t>
      </w:r>
    </w:p>
    <w:p>
      <w:pPr>
        <w:pStyle w:val="ListParagraph"/>
        <w:numPr>
          <w:ilvl w:val="0"/>
          <w:numId w:val="1"/>
        </w:numPr>
        <w:spacing w:before="40" w:after="40" w:line="300"/>
        <w:ind w:left="360"/>
      </w:pPr>
      <w:r>
        <w:rPr>
          <w:color w:val="1E293B"/>
          <w:sz w:val="20"/>
          <w:szCs w:val="20"/>
          <w:rFonts w:ascii="Calibri" w:cs="Calibri" w:eastAsia="Calibri" w:hAnsi="Calibri"/>
        </w:rPr>
        <w:t xml:space="preserve">P50 rendered as bold stroke</w:t>
      </w:r>
    </w:p>
    <w:p>
      <w:pPr>
        <w:pStyle w:val="ListParagraph"/>
        <w:numPr>
          <w:ilvl w:val="0"/>
          <w:numId w:val="1"/>
        </w:numPr>
        <w:spacing w:before="40" w:after="40" w:line="300"/>
        <w:ind w:left="360"/>
      </w:pPr>
      <w:r>
        <w:rPr>
          <w:color w:val="1E293B"/>
          <w:sz w:val="20"/>
          <w:szCs w:val="20"/>
          <w:rFonts w:ascii="Calibri" w:cs="Calibri" w:eastAsia="Calibri" w:hAnsi="Calibri"/>
        </w:rPr>
        <w:t xml:space="preserve">Terminal percentile badges at the right edge</w:t>
      </w:r>
    </w:p>
    <w:p>
      <w:pPr>
        <w:spacing w:before="80" w:after="80"/>
      </w:pPr>
      <w:r>
        <w:t xml:space="preserve"/>
      </w:r>
    </w:p>
    <w:p>
      <w:pPr>
        <w:spacing w:before="80" w:after="80" w:line="320"/>
      </w:pPr>
      <w:r>
        <w:rPr>
          <w:b/>
          <w:bCs/>
          <w:color w:val="1E293B"/>
          <w:sz w:val="20"/>
          <w:szCs w:val="20"/>
          <w:rFonts w:ascii="Calibri" w:cs="Calibri" w:eastAsia="Calibri" w:hAnsi="Calibri"/>
        </w:rPr>
        <w:t xml:space="preserve">GBM+Jump mode (Industrials):</w:t>
      </w:r>
    </w:p>
    <w:p>
      <w:pPr>
        <w:pStyle w:val="ListParagraph"/>
        <w:numPr>
          <w:ilvl w:val="0"/>
          <w:numId w:val="1"/>
        </w:numPr>
        <w:spacing w:before="40" w:after="40" w:line="300"/>
        <w:ind w:left="360"/>
      </w:pPr>
      <w:r>
        <w:rPr>
          <w:color w:val="1E293B"/>
          <w:sz w:val="20"/>
          <w:szCs w:val="20"/>
          <w:rFonts w:ascii="Calibri" w:cs="Calibri" w:eastAsia="Calibri" w:hAnsi="Calibri"/>
        </w:rPr>
        <w:t xml:space="preserve">Gain zone: green fill above the baseline price</w:t>
      </w:r>
    </w:p>
    <w:p>
      <w:pPr>
        <w:pStyle w:val="ListParagraph"/>
        <w:numPr>
          <w:ilvl w:val="0"/>
          <w:numId w:val="1"/>
        </w:numPr>
        <w:spacing w:before="40" w:after="40" w:line="300"/>
        <w:ind w:left="360"/>
      </w:pPr>
      <w:r>
        <w:rPr>
          <w:color w:val="1E293B"/>
          <w:sz w:val="20"/>
          <w:szCs w:val="20"/>
          <w:rFonts w:ascii="Calibri" w:cs="Calibri" w:eastAsia="Calibri" w:hAnsi="Calibri"/>
        </w:rPr>
        <w:t xml:space="preserve">Loss zone: red fill below the baseline price</w:t>
      </w:r>
    </w:p>
    <w:p>
      <w:pPr>
        <w:pStyle w:val="ListParagraph"/>
        <w:numPr>
          <w:ilvl w:val="0"/>
          <w:numId w:val="1"/>
        </w:numPr>
        <w:spacing w:before="40" w:after="40" w:line="300"/>
        <w:ind w:left="360"/>
      </w:pPr>
      <w:r>
        <w:rPr>
          <w:color w:val="1E293B"/>
          <w:sz w:val="20"/>
          <w:szCs w:val="20"/>
          <w:rFonts w:ascii="Calibri" w:cs="Calibri" w:eastAsia="Calibri" w:hAnsi="Calibri"/>
        </w:rPr>
        <w:t xml:space="preserve">Jump arrows on P50 path where step-to-step delta &gt; 4%: green arrow up, red arrow down</w:t>
      </w:r>
    </w:p>
    <w:p>
      <w:pPr>
        <w:pStyle w:val="ListParagraph"/>
        <w:numPr>
          <w:ilvl w:val="0"/>
          <w:numId w:val="1"/>
        </w:numPr>
        <w:spacing w:before="40" w:after="40" w:line="300"/>
        <w:ind w:left="360"/>
      </w:pPr>
      <w:r>
        <w:rPr>
          <w:color w:val="1E293B"/>
          <w:sz w:val="20"/>
          <w:szCs w:val="20"/>
          <w:rFonts w:ascii="Calibri" w:cs="Calibri" w:eastAsia="Calibri" w:hAnsi="Calibri"/>
        </w:rPr>
        <w:t xml:space="preserve">Hover crosshair scrubber: vertical line with percentile labels, day counter at bottom</w:t>
      </w:r>
    </w:p>
    <w:p>
      <w:pPr>
        <w:spacing w:before="80" w:after="80"/>
      </w:pPr>
      <w:r>
        <w:t xml:space="preserve"/>
      </w:r>
    </w:p>
    <w:p>
      <w:pPr>
        <w:pStyle w:val="Heading3"/>
        <w:spacing w:before="280" w:after="120"/>
      </w:pPr>
      <w:r>
        <w:rPr>
          <w:b/>
          <w:bCs/>
          <w:color w:val="1D4ED8"/>
          <w:sz w:val="22"/>
          <w:szCs w:val="22"/>
          <w:rFonts w:ascii="Calibri" w:cs="Calibri" w:eastAsia="Calibri" w:hAnsi="Calibri"/>
        </w:rPr>
        <w:t xml:space="preserve">Coordinate Mapping</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x = paddingLeft + (step / maxSteps) × drawWidth</w:t>
      </w:r>
    </w:p>
    <w:p>
      <w:pPr>
        <w:pBdr>
          <w:left w:val="single" w:color="38BDF8" w:sz="12" w:space="6"/>
        </w:pBdr>
        <w:shd w:fill="F8FAFC" w:color="F8FAFC" w:val="solid"/>
        <w:spacing w:before="60" w:after="60"/>
        <w:ind w:left="288" w:right="288"/>
      </w:pPr>
      <w:r>
        <w:rPr>
          <w:color w:val="1E3A5F"/>
          <w:sz w:val="18"/>
          <w:szCs w:val="18"/>
          <w:rFonts w:ascii="Courier New" w:cs="Courier New" w:eastAsia="Courier New" w:hAnsi="Courier New"/>
        </w:rPr>
        <w:t xml:space="preserve">y = height − paddingBottom − ((value − minValue) / (maxValue − minValue)) × drawHeight</w:t>
      </w:r>
    </w:p>
    <w:p>
      <w:pPr>
        <w:spacing w:before="80" w:after="80" w:line="320"/>
      </w:pPr>
      <w:r>
        <w:rPr>
          <w:color w:val="1E293B"/>
          <w:sz w:val="20"/>
          <w:szCs w:val="20"/>
          <w:rFonts w:ascii="Calibri" w:cs="Calibri" w:eastAsia="Calibri" w:hAnsi="Calibri"/>
        </w:rPr>
        <w:t xml:space="preserve">Canvas is DPI-scaled using window.devicePixelRatio.</w:t>
      </w:r>
    </w:p>
    <w:p>
      <w:r>
        <w:br w:type="page"/>
      </w:r>
    </w:p>
    <w:p>
      <w:pPr>
        <w:pStyle w:val="Heading1"/>
        <w:shd w:fill="0A0F1E" w:color="0A0F1E" w:val="solid"/>
        <w:spacing w:before="480" w:after="200"/>
        <w:ind w:left="215" w:right="215"/>
      </w:pPr>
      <w:r>
        <w:rPr>
          <w:b/>
          <w:bCs/>
          <w:color w:val="FFFFFF"/>
          <w:sz w:val="32"/>
          <w:szCs w:val="32"/>
          <w:rFonts w:ascii="Calibri" w:cs="Calibri" w:eastAsia="Calibri" w:hAnsi="Calibri"/>
        </w:rPr>
        <w:t xml:space="preserve">PART IV — API PROXY LAYER</w:t>
      </w:r>
    </w:p>
    <w:p>
      <w:pPr>
        <w:spacing w:before="80" w:after="80" w:line="320"/>
      </w:pPr>
      <w:r>
        <w:rPr>
          <w:color w:val="1E293B"/>
          <w:sz w:val="20"/>
          <w:szCs w:val="20"/>
          <w:rFonts w:ascii="Calibri" w:cs="Calibri" w:eastAsia="Calibri" w:hAnsi="Calibri"/>
        </w:rPr>
        <w:t xml:space="preserve">All external API calls are routed through Vercel serverless functions to protect API keys and apply server-side caching. No API keys are exposed to the browser.</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4.1  yahoo-proxy.js</w:t>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18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Mode</w:t>
            </w:r>
          </w:p>
        </w:tc>
        <w:tc>
          <w:tcPr>
            <w:tcW w:type="dxa" w:w="50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Data Returned</w:t>
            </w:r>
          </w:p>
        </w:tc>
        <w:tc>
          <w:tcPr>
            <w:tcW w:type="dxa" w:w="230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Cache TTL</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(default)</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30-day annualized RV: stdDev(logReturns) × √252</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30 min</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history</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Daily adjusted-close series + dividends + currentPrice</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24 hours</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quote-summary</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Analyst price targets, trailing P/E, key statistics</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6 hours</w:t>
            </w:r>
          </w:p>
        </w:tc>
      </w:tr>
      <w:tr>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earnings</w:t>
            </w:r>
          </w:p>
        </w:tc>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Next earnings date (ISO string)</w:t>
            </w:r>
          </w:p>
        </w:tc>
        <w:tc>
          <w:tcPr>
            <w:tcW w:type="dxa" w:w="230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12 hours</w:t>
            </w:r>
          </w:p>
        </w:tc>
      </w:tr>
      <w:tr>
        <w:tc>
          <w:tcPr>
            <w:tcW w:type="dxa" w:w="1840"/>
            <w:tcMar>
              <w:top w:type="dxa" w:w="80"/>
              <w:left w:type="dxa" w:w="120"/>
              <w:bottom w:type="dxa" w:w="80"/>
              <w:right w:type="dxa" w:w="120"/>
            </w:tcMar>
          </w:tcPr>
          <w:p>
            <w:r>
              <w:rPr>
                <w:color w:val="1E293B"/>
                <w:sz w:val="18"/>
                <w:szCs w:val="18"/>
                <w:rFonts w:ascii="Calibri" w:cs="Calibri" w:eastAsia="Calibri" w:hAnsi="Calibri"/>
              </w:rPr>
              <w:t xml:space="preserve">news</w:t>
            </w:r>
          </w:p>
        </w:tc>
        <w:tc>
          <w:tcPr>
            <w:tcW w:type="dxa" w:w="5060"/>
            <w:tcMar>
              <w:top w:type="dxa" w:w="80"/>
              <w:left w:type="dxa" w:w="120"/>
              <w:bottom w:type="dxa" w:w="80"/>
              <w:right w:type="dxa" w:w="120"/>
            </w:tcMar>
          </w:tcPr>
          <w:p>
            <w:r>
              <w:rPr>
                <w:color w:val="1E293B"/>
                <w:sz w:val="18"/>
                <w:szCs w:val="18"/>
                <w:rFonts w:ascii="Calibri" w:cs="Calibri" w:eastAsia="Calibri" w:hAnsi="Calibri"/>
              </w:rPr>
              <w:t xml:space="preserve">Yahoo RSS parsed to Finnhub-compatible shape</w:t>
            </w:r>
          </w:p>
        </w:tc>
        <w:tc>
          <w:tcPr>
            <w:tcW w:type="dxa" w:w="2300"/>
            <w:tcMar>
              <w:top w:type="dxa" w:w="80"/>
              <w:left w:type="dxa" w:w="120"/>
              <w:bottom w:type="dxa" w:w="80"/>
              <w:right w:type="dxa" w:w="120"/>
            </w:tcMar>
          </w:tcPr>
          <w:p>
            <w:r>
              <w:rPr>
                <w:color w:val="1E293B"/>
                <w:sz w:val="18"/>
                <w:szCs w:val="18"/>
                <w:rFonts w:ascii="Calibri" w:cs="Calibri" w:eastAsia="Calibri" w:hAnsi="Calibri"/>
              </w:rPr>
              <w:t xml:space="preserve">30 min</w:t>
            </w:r>
          </w:p>
        </w:tc>
      </w:tr>
    </w:tbl>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4.2  finnhub-proxy.js</w:t>
      </w:r>
    </w:p>
    <w:p>
      <w:pPr>
        <w:spacing w:before="80" w:after="80" w:line="320"/>
      </w:pPr>
      <w:r>
        <w:rPr>
          <w:color w:val="1E293B"/>
          <w:sz w:val="20"/>
          <w:szCs w:val="20"/>
          <w:rFonts w:ascii="Calibri" w:cs="Calibri" w:eastAsia="Calibri" w:hAnsi="Calibri"/>
        </w:rPr>
        <w:t xml:space="preserve">Whitelisted endpoints: company-news, company-profile2, stock/recommendation, stock/price-target, stock/earnings, stock/insider-transactions, stock/financials-reported, stock/metric, stock/dividend.</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506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Endpoint</w:t>
            </w:r>
          </w:p>
        </w:tc>
        <w:tc>
          <w:tcPr>
            <w:tcW w:type="dxa" w:w="41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Cache TTL</w:t>
            </w:r>
          </w:p>
        </w:tc>
      </w:tr>
      <w:tr>
        <w:tc>
          <w:tcPr>
            <w:tcW w:type="dxa" w:w="5060"/>
            <w:tcMar>
              <w:top w:type="dxa" w:w="80"/>
              <w:left w:type="dxa" w:w="120"/>
              <w:bottom w:type="dxa" w:w="80"/>
              <w:right w:type="dxa" w:w="120"/>
            </w:tcMar>
          </w:tcPr>
          <w:p>
            <w:r>
              <w:rPr>
                <w:color w:val="1E293B"/>
                <w:sz w:val="18"/>
                <w:szCs w:val="18"/>
                <w:rFonts w:ascii="Calibri" w:cs="Calibri" w:eastAsia="Calibri" w:hAnsi="Calibri"/>
              </w:rPr>
              <w:t xml:space="preserve">company-news</w:t>
            </w:r>
          </w:p>
        </w:tc>
        <w:tc>
          <w:tcPr>
            <w:tcW w:type="dxa" w:w="4140"/>
            <w:tcMar>
              <w:top w:type="dxa" w:w="80"/>
              <w:left w:type="dxa" w:w="120"/>
              <w:bottom w:type="dxa" w:w="80"/>
              <w:right w:type="dxa" w:w="120"/>
            </w:tcMar>
          </w:tcPr>
          <w:p>
            <w:r>
              <w:rPr>
                <w:color w:val="1E293B"/>
                <w:sz w:val="18"/>
                <w:szCs w:val="18"/>
                <w:rFonts w:ascii="Calibri" w:cs="Calibri" w:eastAsia="Calibri" w:hAnsi="Calibri"/>
              </w:rPr>
              <w:t xml:space="preserve">30 minutes</w:t>
            </w:r>
          </w:p>
        </w:tc>
      </w:tr>
      <w:tr>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company-profile2</w:t>
            </w:r>
          </w:p>
        </w:tc>
        <w:tc>
          <w:tcPr>
            <w:tcW w:type="dxa" w:w="41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24 hours</w:t>
            </w:r>
          </w:p>
        </w:tc>
      </w:tr>
      <w:tr>
        <w:tc>
          <w:tcPr>
            <w:tcW w:type="dxa" w:w="5060"/>
            <w:tcMar>
              <w:top w:type="dxa" w:w="80"/>
              <w:left w:type="dxa" w:w="120"/>
              <w:bottom w:type="dxa" w:w="80"/>
              <w:right w:type="dxa" w:w="120"/>
            </w:tcMar>
          </w:tcPr>
          <w:p>
            <w:r>
              <w:rPr>
                <w:color w:val="1E293B"/>
                <w:sz w:val="18"/>
                <w:szCs w:val="18"/>
                <w:rFonts w:ascii="Calibri" w:cs="Calibri" w:eastAsia="Calibri" w:hAnsi="Calibri"/>
              </w:rPr>
              <w:t xml:space="preserve">stock/recommendation</w:t>
            </w:r>
          </w:p>
        </w:tc>
        <w:tc>
          <w:tcPr>
            <w:tcW w:type="dxa" w:w="4140"/>
            <w:tcMar>
              <w:top w:type="dxa" w:w="80"/>
              <w:left w:type="dxa" w:w="120"/>
              <w:bottom w:type="dxa" w:w="80"/>
              <w:right w:type="dxa" w:w="120"/>
            </w:tcMar>
          </w:tcPr>
          <w:p>
            <w:r>
              <w:rPr>
                <w:color w:val="1E293B"/>
                <w:sz w:val="18"/>
                <w:szCs w:val="18"/>
                <w:rFonts w:ascii="Calibri" w:cs="Calibri" w:eastAsia="Calibri" w:hAnsi="Calibri"/>
              </w:rPr>
              <w:t xml:space="preserve">6 hours</w:t>
            </w:r>
          </w:p>
        </w:tc>
      </w:tr>
      <w:tr>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stock/earnings</w:t>
            </w:r>
          </w:p>
        </w:tc>
        <w:tc>
          <w:tcPr>
            <w:tcW w:type="dxa" w:w="41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6 hours</w:t>
            </w:r>
          </w:p>
        </w:tc>
      </w:tr>
      <w:tr>
        <w:tc>
          <w:tcPr>
            <w:tcW w:type="dxa" w:w="5060"/>
            <w:tcMar>
              <w:top w:type="dxa" w:w="80"/>
              <w:left w:type="dxa" w:w="120"/>
              <w:bottom w:type="dxa" w:w="80"/>
              <w:right w:type="dxa" w:w="120"/>
            </w:tcMar>
          </w:tcPr>
          <w:p>
            <w:r>
              <w:rPr>
                <w:color w:val="1E293B"/>
                <w:sz w:val="18"/>
                <w:szCs w:val="18"/>
                <w:rFonts w:ascii="Calibri" w:cs="Calibri" w:eastAsia="Calibri" w:hAnsi="Calibri"/>
              </w:rPr>
              <w:t xml:space="preserve">stock/financials-reported</w:t>
            </w:r>
          </w:p>
        </w:tc>
        <w:tc>
          <w:tcPr>
            <w:tcW w:type="dxa" w:w="4140"/>
            <w:tcMar>
              <w:top w:type="dxa" w:w="80"/>
              <w:left w:type="dxa" w:w="120"/>
              <w:bottom w:type="dxa" w:w="80"/>
              <w:right w:type="dxa" w:w="120"/>
            </w:tcMar>
          </w:tcPr>
          <w:p>
            <w:r>
              <w:rPr>
                <w:color w:val="1E293B"/>
                <w:sz w:val="18"/>
                <w:szCs w:val="18"/>
                <w:rFonts w:ascii="Calibri" w:cs="Calibri" w:eastAsia="Calibri" w:hAnsi="Calibri"/>
              </w:rPr>
              <w:t xml:space="preserve">24 hours</w:t>
            </w:r>
          </w:p>
        </w:tc>
      </w:tr>
      <w:tr>
        <w:tc>
          <w:tcPr>
            <w:tcW w:type="dxa" w:w="506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stock/metric</w:t>
            </w:r>
          </w:p>
        </w:tc>
        <w:tc>
          <w:tcPr>
            <w:tcW w:type="dxa" w:w="41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6 hours</w:t>
            </w:r>
          </w:p>
        </w:tc>
      </w:tr>
      <w:tr>
        <w:tc>
          <w:tcPr>
            <w:tcW w:type="dxa" w:w="5060"/>
            <w:tcMar>
              <w:top w:type="dxa" w:w="80"/>
              <w:left w:type="dxa" w:w="120"/>
              <w:bottom w:type="dxa" w:w="80"/>
              <w:right w:type="dxa" w:w="120"/>
            </w:tcMar>
          </w:tcPr>
          <w:p>
            <w:r>
              <w:rPr>
                <w:color w:val="1E293B"/>
                <w:sz w:val="18"/>
                <w:szCs w:val="18"/>
                <w:rFonts w:ascii="Calibri" w:cs="Calibri" w:eastAsia="Calibri" w:hAnsi="Calibri"/>
              </w:rPr>
              <w:t xml:space="preserve">stock/dividend</w:t>
            </w:r>
          </w:p>
        </w:tc>
        <w:tc>
          <w:tcPr>
            <w:tcW w:type="dxa" w:w="4140"/>
            <w:tcMar>
              <w:top w:type="dxa" w:w="80"/>
              <w:left w:type="dxa" w:w="120"/>
              <w:bottom w:type="dxa" w:w="80"/>
              <w:right w:type="dxa" w:w="120"/>
            </w:tcMar>
          </w:tcPr>
          <w:p>
            <w:r>
              <w:rPr>
                <w:color w:val="1E293B"/>
                <w:sz w:val="18"/>
                <w:szCs w:val="18"/>
                <w:rFonts w:ascii="Calibri" w:cs="Calibri" w:eastAsia="Calibri" w:hAnsi="Calibri"/>
              </w:rPr>
              <w:t xml:space="preserve">24 hours</w:t>
            </w:r>
          </w:p>
        </w:tc>
      </w:tr>
    </w:tbl>
    <w:p>
      <w:pPr>
        <w:spacing w:before="80" w:after="80" w:line="320"/>
      </w:pPr>
      <w:r>
        <w:rPr>
          <w:color w:val="1E293B"/>
          <w:sz w:val="20"/>
          <w:szCs w:val="20"/>
          <w:rFonts w:ascii="Calibri" w:cs="Calibri" w:eastAsia="Calibri" w:hAnsi="Calibri"/>
        </w:rPr>
        <w:t xml:space="preserve">Rate-limit handling: HTTP 401/403 rejected immediately; HTTP 429 queued for retry.</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4.3  fred-proxy.js</w:t>
      </w:r>
    </w:p>
    <w:p>
      <w:pPr>
        <w:spacing w:before="80" w:after="80" w:line="320"/>
      </w:pPr>
      <w:r>
        <w:rPr>
          <w:color w:val="1E293B"/>
          <w:sz w:val="20"/>
          <w:szCs w:val="20"/>
          <w:rFonts w:ascii="Calibri" w:cs="Calibri" w:eastAsia="Calibri" w:hAnsi="Calibri"/>
        </w:rPr>
        <w:t xml:space="preserve">Single-purpose FRED API wrapper. Accepts a series_id parameter, queries the St. Louis Fed observations endpoint, and returns the latest observation value. Cache TTL: 6 hours. This reduces upstream FRED calls from ~216/day to ~36/day for the 9 series polled by Sentinel.</w:t>
      </w:r>
    </w:p>
    <w:p>
      <w:pPr>
        <w:spacing w:before="80" w:after="80"/>
      </w:pPr>
      <w:r>
        <w:t xml:space="preserve"/>
      </w:r>
    </w:p>
    <w:p>
      <w:pPr>
        <w:pStyle w:val="Heading2"/>
        <w:pBdr>
          <w:bottom w:val="single" w:color="38BDF8" w:sz="8" w:space="4"/>
        </w:pBdr>
        <w:spacing w:before="360" w:after="160"/>
      </w:pPr>
      <w:r>
        <w:rPr>
          <w:b/>
          <w:bCs/>
          <w:color w:val="0A0F1E"/>
          <w:sz w:val="26"/>
          <w:szCs w:val="26"/>
          <w:rFonts w:ascii="Calibri" w:cs="Calibri" w:eastAsia="Calibri" w:hAnsi="Calibri"/>
        </w:rPr>
        <w:t xml:space="preserve">4.4  alpha-proxy.js</w:t>
      </w:r>
    </w:p>
    <w:p>
      <w:pPr>
        <w:spacing w:before="80" w:after="80" w:line="320"/>
      </w:pPr>
      <w:r>
        <w:rPr>
          <w:color w:val="1E293B"/>
          <w:sz w:val="20"/>
          <w:szCs w:val="20"/>
          <w:rFonts w:ascii="Calibri" w:cs="Calibri" w:eastAsia="Calibri" w:hAnsi="Calibri"/>
        </w:rPr>
        <w:t xml:space="preserve">Calls Alpha Vantage TIME_SERIES_DAILY for three sector ETFs (XLE, XLU, XLI). Computes 30-day annualized realized volatility: stdDev(logReturns) × √252. Cache TTL: 12 hours. On API failure or rate-limit, returns hardcoded fallback values. 404 responses return { error: "E404: NO_DATA_FOUND" } without leaking upstream response fields.</w:t>
      </w:r>
    </w:p>
    <w:p>
      <w:r>
        <w:br w:type="page"/>
      </w:r>
    </w:p>
    <w:p>
      <w:pPr>
        <w:pStyle w:val="Heading1"/>
        <w:shd w:fill="0A0F1E" w:color="0A0F1E" w:val="solid"/>
        <w:spacing w:before="480" w:after="200"/>
        <w:ind w:left="215" w:right="215"/>
      </w:pPr>
      <w:r>
        <w:rPr>
          <w:b/>
          <w:bCs/>
          <w:color w:val="FFFFFF"/>
          <w:sz w:val="32"/>
          <w:szCs w:val="32"/>
          <w:rFonts w:ascii="Calibri" w:cs="Calibri" w:eastAsia="Calibri" w:hAnsi="Calibri"/>
        </w:rPr>
        <w:t xml:space="preserve">PART V — CONSOLIDATED FORMULA REFERENCE</w:t>
      </w:r>
    </w:p>
    <w:p>
      <w:pPr>
        <w:spacing w:before="80" w:after="80"/>
      </w:pPr>
      <w:r>
        <w:t xml:space="preserve"/>
      </w:r>
    </w:p>
    <w:tbl>
      <w:tblPr>
        <w:tblW w:type="dxa" w:w="92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576"/>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Formula</w:t>
            </w:r>
          </w:p>
        </w:tc>
        <w:tc>
          <w:tcPr>
            <w:tcW w:type="dxa" w:w="1840"/>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Engine</w:t>
            </w:r>
          </w:p>
        </w:tc>
        <w:tc>
          <w:tcPr>
            <w:tcW w:type="dxa" w:w="4784"/>
            <w:shd w:fill="0A0F1E" w:color="0A0F1E" w:val="solid"/>
            <w:tcMar>
              <w:top w:type="dxa" w:w="80"/>
              <w:left w:type="dxa" w:w="120"/>
              <w:bottom w:type="dxa" w:w="80"/>
              <w:right w:type="dxa" w:w="120"/>
            </w:tcMar>
          </w:tcPr>
          <w:p>
            <w:r>
              <w:rPr>
                <w:b/>
                <w:bCs/>
                <w:color w:val="FFFFFF"/>
                <w:sz w:val="18"/>
                <w:szCs w:val="18"/>
                <w:rFonts w:ascii="Calibri" w:cs="Calibri" w:eastAsia="Calibri" w:hAnsi="Calibri"/>
              </w:rPr>
              <w:t xml:space="preserve">Expression</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Credit Spread</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max(baseSpread, ratingIndex) + proxyVol × mertonScalar × stress × sensitivity + effectiveMarketBeta × 50 × stress × sensitivity</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Implied Yield</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sovereignRate + liveSpread / 100</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Probability of Default</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1 − exp(−spread/10000 × 10)</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Merton Convexity Scalar</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1.5 + 1.0 / (1 + exp(−0.4 × (proxyVol − 35)))</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Proxy Volatility</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sectorVol × effectiveSectorBeta + residual</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VIX Beta-Shift Factor</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cFactor = min(0.8, max(0, (VIX − 25) / 25))</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Effective Beta</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Sentinel</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(1 − cFactor) × baseBeta + cFactor × 1.0</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OU Price Process</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 Worker</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S_{t+1} = S_t + θ(μ − S_t)dt + σ·S_t·Z·√dt</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GBM+Jump Price Process</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Osiris Worker</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S_{t+1} = S_t · exp((drift − compensator)·dt + σ√dt·Z + logJump)</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Merton Jump Compensator</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 Worker</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λ · (exp(jumpMu + 0.5·σ_J²) − 1)</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Drift</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Osiris</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US10Y − dividendYield</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Beta (OLS)</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 Ingest</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cov(stockReturns, SPYReturns) / var(SPYReturns)</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Dividend Yield</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Osiris Ingest</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sum(TTM dividends) / currentPrice</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Annualized Daily RV</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Osiris/Sentinel</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stdDev(logReturns) × √252</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Intraday Daily RV</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Osiris Ingest</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Σ(log(bar_t/bar_{t−1}))² + (log(open/prev_close))²</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Box-Muller Normal</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 Worker</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Z = √(−2·ln(u)) · cos(2π·v)</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Win Probability</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Osiris Oracle</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count(S_T &gt; S_0) / totalPaths</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Win Prob (fallback)</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Osiris Oracle</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Φ((p50 − S_0) / ((p95 − p05) / 3.29))</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Net Leverage</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FinVault</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(TotalDebt − Cash) / EBITDA</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Interest Coverage</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FinVault</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EBITDA / InterestExpense</w:t>
            </w:r>
          </w:p>
        </w:tc>
      </w:tr>
      <w:tr>
        <w:tc>
          <w:tcPr>
            <w:tcW w:type="dxa" w:w="2576"/>
            <w:tcMar>
              <w:top w:type="dxa" w:w="80"/>
              <w:left w:type="dxa" w:w="120"/>
              <w:bottom w:type="dxa" w:w="80"/>
              <w:right w:type="dxa" w:w="120"/>
            </w:tcMar>
          </w:tcPr>
          <w:p>
            <w:r>
              <w:rPr>
                <w:color w:val="1E293B"/>
                <w:sz w:val="18"/>
                <w:szCs w:val="18"/>
                <w:rFonts w:ascii="Calibri" w:cs="Calibri" w:eastAsia="Calibri" w:hAnsi="Calibri"/>
              </w:rPr>
              <w:t xml:space="preserve">ROE</w:t>
            </w:r>
          </w:p>
        </w:tc>
        <w:tc>
          <w:tcPr>
            <w:tcW w:type="dxa" w:w="1840"/>
            <w:tcMar>
              <w:top w:type="dxa" w:w="80"/>
              <w:left w:type="dxa" w:w="120"/>
              <w:bottom w:type="dxa" w:w="80"/>
              <w:right w:type="dxa" w:w="120"/>
            </w:tcMar>
          </w:tcPr>
          <w:p>
            <w:r>
              <w:rPr>
                <w:color w:val="1E293B"/>
                <w:sz w:val="18"/>
                <w:szCs w:val="18"/>
                <w:rFonts w:ascii="Calibri" w:cs="Calibri" w:eastAsia="Calibri" w:hAnsi="Calibri"/>
              </w:rPr>
              <w:t xml:space="preserve">FinVault</w:t>
            </w:r>
          </w:p>
        </w:tc>
        <w:tc>
          <w:tcPr>
            <w:tcW w:type="dxa" w:w="4784"/>
            <w:tcMar>
              <w:top w:type="dxa" w:w="80"/>
              <w:left w:type="dxa" w:w="120"/>
              <w:bottom w:type="dxa" w:w="80"/>
              <w:right w:type="dxa" w:w="120"/>
            </w:tcMar>
          </w:tcPr>
          <w:p>
            <w:r>
              <w:rPr>
                <w:color w:val="1E293B"/>
                <w:sz w:val="18"/>
                <w:szCs w:val="18"/>
                <w:rFonts w:ascii="Calibri" w:cs="Calibri" w:eastAsia="Calibri" w:hAnsi="Calibri"/>
              </w:rPr>
              <w:t xml:space="preserve">NetIncome / Equity</w:t>
            </w:r>
          </w:p>
        </w:tc>
      </w:tr>
      <w:tr>
        <w:tc>
          <w:tcPr>
            <w:tcW w:type="dxa" w:w="2576"/>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ROA</w:t>
            </w:r>
          </w:p>
        </w:tc>
        <w:tc>
          <w:tcPr>
            <w:tcW w:type="dxa" w:w="1840"/>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FinVault</w:t>
            </w:r>
          </w:p>
        </w:tc>
        <w:tc>
          <w:tcPr>
            <w:tcW w:type="dxa" w:w="4784"/>
            <w:shd w:fill="F1F5F9" w:color="F1F5F9" w:val="solid"/>
            <w:tcMar>
              <w:top w:type="dxa" w:w="80"/>
              <w:left w:type="dxa" w:w="120"/>
              <w:bottom w:type="dxa" w:w="80"/>
              <w:right w:type="dxa" w:w="120"/>
            </w:tcMar>
          </w:tcPr>
          <w:p>
            <w:r>
              <w:rPr>
                <w:color w:val="1E293B"/>
                <w:sz w:val="18"/>
                <w:szCs w:val="18"/>
                <w:rFonts w:ascii="Calibri" w:cs="Calibri" w:eastAsia="Calibri" w:hAnsi="Calibri"/>
              </w:rPr>
              <w:t xml:space="preserve">NetIncome / TotalAssets</w:t>
            </w:r>
          </w:p>
        </w:tc>
      </w:tr>
    </w:tbl>
    <w:sectPr>
      <w:headerReference w:type="default" r:id="rId6"/>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94A3B8"/>
        <w:sz w:val="16"/>
        <w:szCs w:val="16"/>
        <w:rFonts w:ascii="Calibri" w:cs="Calibri" w:eastAsia="Calibri" w:hAnsi="Calibri"/>
      </w:rPr>
      <w:t xml:space="preserve">Page </w:t>
    </w:r>
    <w:r>
      <w:rPr>
        <w:color w:val="94A3B8"/>
        <w:sz w:val="16"/>
        <w:szCs w:val="16"/>
        <w:rFonts w:ascii="Calibri" w:cs="Calibri" w:eastAsia="Calibri" w:hAnsi="Calibri"/>
      </w:rPr>
      <w:fldChar w:fldCharType="begin"/>
      <w:instrText xml:space="preserve">PAGE</w:instrText>
      <w:fldChar w:fldCharType="separate"/>
      <w:fldChar w:fldCharType="end"/>
    </w:r>
    <w:r>
      <w:rPr>
        <w:color w:val="94A3B8"/>
        <w:sz w:val="16"/>
        <w:szCs w:val="16"/>
        <w:rFonts w:ascii="Calibri" w:cs="Calibri" w:eastAsia="Calibri" w:hAnsi="Calibri"/>
      </w:rPr>
      <w:t xml:space="preserve">  ·  novasect.space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94A3B8"/>
        <w:sz w:val="16"/>
        <w:szCs w:val="16"/>
        <w:rFonts w:ascii="Calibri" w:cs="Calibri" w:eastAsia="Calibri" w:hAnsi="Calibri"/>
      </w:rPr>
      <w:t xml:space="preserve">NovaSect  ·  Platform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0"/>
        <w:szCs w:val="20"/>
        <w:rFonts w:ascii="Calibri" w:cs="Calibri" w:eastAsia="Calibri" w:hAnsi="Calibri"/>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NovaSect Platform Technical Reference</dc:title>
  <dc:creator>NovaSect</dc:creator>
  <dc:description>Data extraction, processing logic, and output engines for FinVault, Sentinel, and Osiris</dc:description>
  <cp:lastModifiedBy>Un-named</cp:lastModifiedBy>
  <cp:revision>1</cp:revision>
  <dcterms:created xsi:type="dcterms:W3CDTF">2026-05-29T17:44:14.468Z</dcterms:created>
  <dcterms:modified xsi:type="dcterms:W3CDTF">2026-05-29T17:44:14.469Z</dcterms:modified>
</cp:coreProperties>
</file>

<file path=docProps/custom.xml><?xml version="1.0" encoding="utf-8"?>
<Properties xmlns="http://schemas.openxmlformats.org/officeDocument/2006/custom-properties" xmlns:vt="http://schemas.openxmlformats.org/officeDocument/2006/docPropsVTypes"/>
</file>