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u w:val="single"/>
          <w:rtl w:val="0"/>
        </w:rPr>
        <w:t xml:space="preserve">Unicorn Companies Analysis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dataset includes private businesses valued at over $1 billion as of March 2022, each with information on its current valuation, funding, and country of origin.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are interested in the valuations and fundings of unicorn startups. A detailed examination of the funding-receiving industries must be done. Several more conclusions must also be drawn in order to pinpoint the country and city that are home to a significant unicorn population.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We're also interested in finding out how long it takes startups in different sectors to become unicorn companies. Has it always been like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focus of our debate is which unicorn companies had the best returns on investment. There will be a list of the top nations with the most unicorns.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We'll look at how different companies are valued and which year saw the greatest amount of unicorn companies.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690418" cy="458738"/>
          <wp:effectExtent b="0" l="0" r="0" t="0"/>
          <wp:docPr descr="D:\Office Items\Ineuron Logo.png" id="1" name="image1.png"/>
          <a:graphic>
            <a:graphicData uri="http://schemas.openxmlformats.org/drawingml/2006/picture">
              <pic:pic>
                <pic:nvPicPr>
                  <pic:cNvPr descr="D:\Office Items\Ineuron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0418" cy="4587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5589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29605" cy="1558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5589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29605" cy="1558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1.15pt;height:122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