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Default="00C53989" w:rsidP="004B697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B69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From an IP and innovation perspective, this article contributed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to the scarce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literature about the role of and challenges associated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with IP during pandemics.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Our findings were derived from analyzing,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synthesizing, and interpreting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secondary data from the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COVID-19 pandemic from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two major sources: 1) publicly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available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documents, such as newspaper articles, industry specific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outlets,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government reports, and announcements and 2) patent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data. Obviously, ou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findings result only from observations of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one on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going pandemic and thus need to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be verified further and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interpreted with care.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We find that what makes it difficult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for IP to be given its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required considerations durin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 the early stage of a pandemic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the enormous sense of urgency, which draws decision makers’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attention to huge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and undoubtedly urgent operational challenges.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With this article, we hopefully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contribute a set of arguments to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raise awarenes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 why IP needs to be dealt with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earlier rather than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later during a pandemic in order to avoid that IP-associated risks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delay the mobilization of the resources so urgently needed for the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research,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development, and mass manufacturing of CC-P. This is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particularly important as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various responses to the pandemic are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so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mehow technology related, which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typically involves IP rights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 some form.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This article offered a set of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contributions.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We summarized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IP-related issues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currently surfacing during the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COVID-19 pandemic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 a CC-IP roadmap. We identified four major groups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stakeholders that are mostly concerned with IP considerations.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These include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governments (and intergovernmental organizations,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such as the WHO and WIPO)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who are called upon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to orchestrate pandemic responses, incumbent manufacturing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firms in CC-S, as well as new entrants that enter CC-S to assist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incumbents. New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entrants include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manufacturing firms that did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not produce CC-P prior to a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pandemic (Type 1 entrants), as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well as voluntary gr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>ass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root initiatives, start-ups,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entrepreneurial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scientists, etc. (Type 2 entrants). This article then identified and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analyzed three scenarios in which different IP considerations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emerge for the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different stakeholder groups.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This article provid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ed a terminology that helped to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conceptualize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IP considerations in times of pandemics or global health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crises that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call for urgent and large-scale actions from various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innovation stakeholders that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suddenly find themselves engaged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 new relatio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nships that are associated with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various IP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associated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uncertainties, not the least related to the use and sharing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of IP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with the particular problem that negotiating licensing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agreements is typically time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consuming.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We also provided a language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for 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olicy makers and other decision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makers to articulate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and discuss IP challenge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s during pandemics, which might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evolve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further with specific terms being added gradually or notions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being revised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as we go along. We proposed a framework that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visualizes how industrial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organization could change throughout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pandemics. That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can serve as an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analytical framework for other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and particularly follow up studies.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Results f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rom our patent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analysis show that research and IP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protection for corona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virus-related inventions is not new. Patent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protection for different forms of corona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virus already exists, but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not for the particular corona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virus type SARS-CoV-2 that causes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COVID-19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disease. It appears evident that there is a time lag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between outbreaks and the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materialization of patents and a number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of ref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erences to NPL, which shows the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urgency of scientists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for open data to put the in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formation in the public domain.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Any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patent analysis is historic, thus limited to existing IP, even with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a delay as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patent applications get published 18 months after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iling. Any patent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analysis thus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does not capture innovations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currently being dev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eloped, even though these might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result in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patent applications, with some of them possibly even having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been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submitted. Following a systematic identification of CC-P,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further specific patent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analysis should be conducted to learn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more about the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owners of IP related to those,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which can then,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e.g., inform policy makers and help owners of CC-IP to form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consortia with others who own complementary IP and identify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opportunities for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further repurposing of production capacities.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For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policy and decision makers, we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provide a summary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of approaches to address IP concerns during the COVID-19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pandemic, such as compulsory licensing, IP pooling, and IP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pledges. We derive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initial guiding principles for policy makers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toward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using IP to maximize innovation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incentives for CC-P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until these are developed and then shift gradually to use policy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measures to facilitate access to these key innovations, such as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the vaccine. These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should be subject to future scrutiny and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needs f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urther work to identify relevant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literature from innovation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economics.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more ad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vanced IP risk analysis would be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helpful to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understand the risks for relevant stakeholders during the different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pandemic phases, i.e., before/after certain key innovations have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been developed,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which could then provide relevant input to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appropr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>iate policy responses.</w:t>
      </w:r>
    </w:p>
    <w:p w:rsidR="00261AFA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5148" w:rsidRPr="0077263C" w:rsidRDefault="00261AFA" w:rsidP="007726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fact,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currently, we lack systematically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collected evi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dence documenting the extent to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which IP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issues actually present a barrier or are a perceived possible future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problem (risk) and to what extent for different actors. Evidence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for this could be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created for instance through a survey to those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dev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eloping and manufacturing CC-P.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This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would provide a more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sound basis for con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>versations with decision makers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about the</w:t>
      </w:r>
      <w:r w:rsidR="00772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7263C" w:rsidRPr="0077263C">
        <w:rPr>
          <w:rFonts w:ascii="Times New Roman" w:hAnsi="Times New Roman" w:cs="Times New Roman"/>
          <w:bCs/>
          <w:color w:val="000000"/>
          <w:sz w:val="28"/>
          <w:szCs w:val="28"/>
        </w:rPr>
        <w:t>importance of IP issues during a pandemic.</w:t>
      </w:r>
    </w:p>
    <w:sectPr w:rsidR="002F5148" w:rsidRPr="0077263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09C" w:rsidRDefault="000D009C" w:rsidP="0063043F">
      <w:pPr>
        <w:spacing w:after="0" w:line="240" w:lineRule="auto"/>
      </w:pPr>
      <w:r>
        <w:separator/>
      </w:r>
    </w:p>
  </w:endnote>
  <w:endnote w:type="continuationSeparator" w:id="1">
    <w:p w:rsidR="000D009C" w:rsidRDefault="000D009C" w:rsidP="006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09C" w:rsidRDefault="000D009C" w:rsidP="0063043F">
      <w:pPr>
        <w:spacing w:after="0" w:line="240" w:lineRule="auto"/>
      </w:pPr>
      <w:r>
        <w:separator/>
      </w:r>
    </w:p>
  </w:footnote>
  <w:footnote w:type="continuationSeparator" w:id="1">
    <w:p w:rsidR="000D009C" w:rsidRDefault="000D009C" w:rsidP="006304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3989"/>
    <w:rsid w:val="00030028"/>
    <w:rsid w:val="000336CD"/>
    <w:rsid w:val="000D009C"/>
    <w:rsid w:val="00104063"/>
    <w:rsid w:val="002522D7"/>
    <w:rsid w:val="00261AFA"/>
    <w:rsid w:val="002E0D34"/>
    <w:rsid w:val="002F5148"/>
    <w:rsid w:val="003022F5"/>
    <w:rsid w:val="003A19C0"/>
    <w:rsid w:val="003F4D41"/>
    <w:rsid w:val="00491F96"/>
    <w:rsid w:val="004A3BAD"/>
    <w:rsid w:val="004B6978"/>
    <w:rsid w:val="004D3474"/>
    <w:rsid w:val="00576377"/>
    <w:rsid w:val="005B5053"/>
    <w:rsid w:val="0063043F"/>
    <w:rsid w:val="00663DD3"/>
    <w:rsid w:val="00700D88"/>
    <w:rsid w:val="00711B75"/>
    <w:rsid w:val="00744A6D"/>
    <w:rsid w:val="00770715"/>
    <w:rsid w:val="0077263C"/>
    <w:rsid w:val="007B463C"/>
    <w:rsid w:val="00811770"/>
    <w:rsid w:val="008435F5"/>
    <w:rsid w:val="00911A10"/>
    <w:rsid w:val="00973599"/>
    <w:rsid w:val="00974B6B"/>
    <w:rsid w:val="00A6320F"/>
    <w:rsid w:val="00BA6CCF"/>
    <w:rsid w:val="00BD6447"/>
    <w:rsid w:val="00C10AA8"/>
    <w:rsid w:val="00C53989"/>
    <w:rsid w:val="00C92BFF"/>
    <w:rsid w:val="00D270B1"/>
    <w:rsid w:val="00E4013B"/>
    <w:rsid w:val="00E771A9"/>
    <w:rsid w:val="00EF53F7"/>
    <w:rsid w:val="00FB07E2"/>
    <w:rsid w:val="00FB4898"/>
    <w:rsid w:val="00FF0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43F"/>
  </w:style>
  <w:style w:type="paragraph" w:styleId="Footer">
    <w:name w:val="footer"/>
    <w:basedOn w:val="Normal"/>
    <w:link w:val="FooterChar"/>
    <w:uiPriority w:val="99"/>
    <w:semiHidden/>
    <w:unhideWhenUsed/>
    <w:rsid w:val="00630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0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30</cp:revision>
  <dcterms:created xsi:type="dcterms:W3CDTF">2016-12-19T05:52:00Z</dcterms:created>
  <dcterms:modified xsi:type="dcterms:W3CDTF">2021-02-26T09:52:00Z</dcterms:modified>
</cp:coreProperties>
</file>