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word/drawings/drawing8.xml" ContentType="application/vnd.openxmlformats-officedocument.drawingml.chartshapes+xml"/>
  <Override PartName="/word/drawings/drawing9.xml" ContentType="application/vnd.openxmlformats-officedocument.drawingml.chartshapes+xml"/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rawings/drawing16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rawings/drawing14.xml" ContentType="application/vnd.openxmlformats-officedocument.drawingml.chartshapes+xml"/>
  <Override PartName="/word/drawings/drawing15.xml" ContentType="application/vnd.openxmlformats-officedocument.drawingml.chartshapes+xml"/>
  <Override PartName="/word/charts/chart1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12.xml" ContentType="application/vnd.openxmlformats-officedocument.drawingml.chartshapes+xml"/>
  <Override PartName="/word/drawings/drawing13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0.xml" ContentType="application/vnd.openxmlformats-officedocument.drawingml.chartshapes+xml"/>
  <Override PartName="/word/drawings/drawing11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666" w:rsidRPr="00BE39C7" w:rsidRDefault="002B5576" w:rsidP="00EB366A">
      <w:pPr>
        <w:jc w:val="both"/>
        <w:rPr>
          <w:rFonts w:cstheme="minorHAnsi"/>
          <w:b/>
          <w:sz w:val="36"/>
          <w:szCs w:val="36"/>
        </w:rPr>
      </w:pPr>
      <w:r w:rsidRPr="00BE39C7">
        <w:rPr>
          <w:rFonts w:cstheme="minorHAnsi"/>
          <w:b/>
          <w:sz w:val="36"/>
          <w:szCs w:val="36"/>
        </w:rPr>
        <w:t xml:space="preserve">RESULTS </w:t>
      </w:r>
    </w:p>
    <w:p w:rsidR="002B5576" w:rsidRPr="00D76D6C" w:rsidRDefault="00D76D6C" w:rsidP="00EB366A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Of the 196 participants, 74% were males while 26</w:t>
      </w:r>
      <w:r w:rsidR="002B557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% were females</w:t>
      </w:r>
      <w:r w:rsidR="002B5576" w:rsidRPr="00BE39C7">
        <w:rPr>
          <w:rFonts w:eastAsia="Times New Roman" w:cstheme="minorHAnsi"/>
          <w:color w:val="000000"/>
          <w:sz w:val="24"/>
          <w:szCs w:val="24"/>
          <w:lang w:eastAsia="en-GB"/>
        </w:rPr>
        <w:t> </w:t>
      </w:r>
      <w:hyperlink r:id="rId4" w:tgtFrame="_blank" w:history="1">
        <w:r w:rsidR="000620FA" w:rsidRPr="00BE39C7">
          <w:rPr>
            <w:rFonts w:eastAsia="Times New Roman" w:cstheme="minorHAnsi"/>
            <w:color w:val="0000FF"/>
            <w:sz w:val="24"/>
            <w:szCs w:val="24"/>
            <w:lang w:eastAsia="en-GB"/>
          </w:rPr>
          <w:t>[fig</w:t>
        </w:r>
        <w:r w:rsidR="002B5576" w:rsidRPr="00BE39C7">
          <w:rPr>
            <w:rFonts w:eastAsia="Times New Roman" w:cstheme="minorHAnsi"/>
            <w:color w:val="0000FF"/>
            <w:sz w:val="24"/>
            <w:szCs w:val="24"/>
            <w:lang w:eastAsia="en-GB"/>
          </w:rPr>
          <w:t xml:space="preserve"> 1]</w:t>
        </w:r>
      </w:hyperlink>
      <w:r w:rsidR="002B557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. The age of participa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nts ranged from 20 to 59 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years where maximum (</w:t>
      </w:r>
      <w:r w:rsidR="002B557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134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, 68.4%) were in</w:t>
      </w:r>
      <w:r w:rsidR="002B557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20 t</w:t>
      </w:r>
      <w:r w:rsidR="000620F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o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29 </w:t>
      </w:r>
      <w:proofErr w:type="gramStart"/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years </w:t>
      </w:r>
      <w:r w:rsidR="002B557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age</w:t>
      </w:r>
      <w:proofErr w:type="gramEnd"/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group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.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Ninety six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participants 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were medical </w:t>
      </w:r>
      <w:r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officer, 79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were junior </w:t>
      </w:r>
      <w:r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resident, 11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were senior resi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dent and 13 were consultant .one hundred thirty one </w:t>
      </w:r>
      <w:r w:rsidR="00806CCC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participants</w:t>
      </w:r>
      <w:r w:rsidR="0091704A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were the one practicing at BPKIHS while 65 were practicing at district and zonal hospital of eastern Nepal</w:t>
      </w:r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.</w:t>
      </w:r>
      <w:r w:rsid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One hundred sixty</w:t>
      </w:r>
      <w:r w:rsidR="00A33BD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nine participants</w:t>
      </w:r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received their medical education from Nepal</w:t>
      </w:r>
      <w:proofErr w:type="gramStart"/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,16</w:t>
      </w:r>
      <w:proofErr w:type="gramEnd"/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 from </w:t>
      </w:r>
      <w:r w:rsidR="00B26BB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I</w:t>
      </w:r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 xml:space="preserve">ndia and 11 from south east </w:t>
      </w:r>
      <w:proofErr w:type="spellStart"/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asia</w:t>
      </w:r>
      <w:proofErr w:type="spellEnd"/>
      <w:r w:rsidR="00806CC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(china, Bangladesh)</w:t>
      </w:r>
      <w:r w:rsidR="00FB7AE6" w:rsidRPr="00BE39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GB"/>
        </w:rPr>
        <w:t>.</w:t>
      </w:r>
    </w:p>
    <w:p w:rsidR="002B5576" w:rsidRPr="00BE39C7" w:rsidRDefault="00DB6897" w:rsidP="00EB366A">
      <w:pPr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362450" cy="22669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20FA" w:rsidRPr="00BE39C7" w:rsidRDefault="000620FA" w:rsidP="00EB366A">
      <w:pPr>
        <w:jc w:val="both"/>
        <w:rPr>
          <w:rFonts w:cstheme="minorHAnsi"/>
          <w:sz w:val="24"/>
          <w:szCs w:val="24"/>
        </w:rPr>
      </w:pPr>
    </w:p>
    <w:p w:rsidR="000620FA" w:rsidRPr="00BE39C7" w:rsidRDefault="000620FA" w:rsidP="00EB366A">
      <w:pPr>
        <w:jc w:val="both"/>
        <w:rPr>
          <w:rFonts w:cstheme="minorHAnsi"/>
          <w:sz w:val="24"/>
          <w:szCs w:val="24"/>
        </w:rPr>
      </w:pPr>
    </w:p>
    <w:p w:rsidR="00DB6897" w:rsidRPr="00BE39C7" w:rsidRDefault="000620FA" w:rsidP="00EB366A">
      <w:pPr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5323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BE39C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057650" cy="22860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057650" cy="2514600"/>
            <wp:effectExtent l="19050" t="0" r="1905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067175" cy="2657475"/>
            <wp:effectExtent l="19050" t="0" r="9525" b="9525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0620FA" w:rsidRPr="00BE39C7" w:rsidRDefault="000620F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0620FA" w:rsidRPr="00BE39C7" w:rsidRDefault="00FA5451" w:rsidP="00EB366A">
      <w:pPr>
        <w:pStyle w:val="NoSpacing"/>
        <w:jc w:val="both"/>
        <w:rPr>
          <w:rFonts w:cstheme="minorHAnsi"/>
          <w:b/>
          <w:sz w:val="24"/>
          <w:szCs w:val="24"/>
        </w:rPr>
      </w:pPr>
      <w:r w:rsidRPr="00BE39C7">
        <w:rPr>
          <w:rFonts w:cstheme="minorHAnsi"/>
          <w:b/>
          <w:sz w:val="24"/>
          <w:szCs w:val="24"/>
        </w:rPr>
        <w:t>Knowledge about sign symptoms and risk factors</w:t>
      </w:r>
    </w:p>
    <w:p w:rsidR="00FA5451" w:rsidRPr="00BE39C7" w:rsidRDefault="00FA5451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Out of 196 participants, 74 (37.8%)participants correctly answered tongue as the most common site of oral cancer excluding lip.</w:t>
      </w:r>
      <w:r w:rsidR="00921E1A" w:rsidRPr="00BE39C7">
        <w:rPr>
          <w:rFonts w:cstheme="minorHAnsi"/>
          <w:sz w:val="24"/>
          <w:szCs w:val="24"/>
        </w:rPr>
        <w:t xml:space="preserve"> </w:t>
      </w:r>
      <w:r w:rsidR="00806CCC">
        <w:rPr>
          <w:rFonts w:cstheme="minorHAnsi"/>
          <w:sz w:val="24"/>
          <w:szCs w:val="24"/>
        </w:rPr>
        <w:t xml:space="preserve">One hundred sixty </w:t>
      </w:r>
      <w:proofErr w:type="gramStart"/>
      <w:r w:rsidR="00806CCC">
        <w:rPr>
          <w:rFonts w:cstheme="minorHAnsi"/>
          <w:sz w:val="24"/>
          <w:szCs w:val="24"/>
        </w:rPr>
        <w:t>three</w:t>
      </w:r>
      <w:r w:rsidR="00921E1A" w:rsidRPr="00BE39C7">
        <w:rPr>
          <w:rFonts w:cstheme="minorHAnsi"/>
          <w:sz w:val="24"/>
          <w:szCs w:val="24"/>
        </w:rPr>
        <w:t>(</w:t>
      </w:r>
      <w:proofErr w:type="gramEnd"/>
      <w:r w:rsidR="00921E1A" w:rsidRPr="00BE39C7">
        <w:rPr>
          <w:rFonts w:cstheme="minorHAnsi"/>
          <w:sz w:val="24"/>
          <w:szCs w:val="24"/>
        </w:rPr>
        <w:t xml:space="preserve">83.2%) participants correctly identified </w:t>
      </w:r>
      <w:proofErr w:type="spellStart"/>
      <w:r w:rsidR="00921E1A" w:rsidRPr="00BE39C7">
        <w:rPr>
          <w:rFonts w:cstheme="minorHAnsi"/>
          <w:sz w:val="24"/>
          <w:szCs w:val="24"/>
        </w:rPr>
        <w:t>squamous</w:t>
      </w:r>
      <w:proofErr w:type="spellEnd"/>
      <w:r w:rsidR="00921E1A" w:rsidRPr="00BE39C7">
        <w:rPr>
          <w:rFonts w:cstheme="minorHAnsi"/>
          <w:sz w:val="24"/>
          <w:szCs w:val="24"/>
        </w:rPr>
        <w:t xml:space="preserve"> cell carcinoma</w:t>
      </w:r>
      <w:r w:rsidR="00F04E2E" w:rsidRPr="00BE39C7">
        <w:rPr>
          <w:rFonts w:cstheme="minorHAnsi"/>
          <w:sz w:val="24"/>
          <w:szCs w:val="24"/>
        </w:rPr>
        <w:t xml:space="preserve"> as the mos</w:t>
      </w:r>
      <w:r w:rsidR="00806CCC">
        <w:rPr>
          <w:rFonts w:cstheme="minorHAnsi"/>
          <w:sz w:val="24"/>
          <w:szCs w:val="24"/>
        </w:rPr>
        <w:t>t common site of oral cancer. Sixty five</w:t>
      </w:r>
      <w:r w:rsidR="00F04E2E" w:rsidRPr="00BE39C7">
        <w:rPr>
          <w:rFonts w:cstheme="minorHAnsi"/>
          <w:sz w:val="24"/>
          <w:szCs w:val="24"/>
        </w:rPr>
        <w:t xml:space="preserve"> (33.2%) participants correctly answered about the factor least likely to be </w:t>
      </w:r>
      <w:r w:rsidR="00BE39C7" w:rsidRPr="00BE39C7">
        <w:rPr>
          <w:rFonts w:cstheme="minorHAnsi"/>
          <w:sz w:val="24"/>
          <w:szCs w:val="24"/>
        </w:rPr>
        <w:t>associated</w:t>
      </w:r>
      <w:r w:rsidR="00F04E2E" w:rsidRPr="00BE39C7">
        <w:rPr>
          <w:rFonts w:cstheme="minorHAnsi"/>
          <w:sz w:val="24"/>
          <w:szCs w:val="24"/>
        </w:rPr>
        <w:t xml:space="preserve"> with oral cancer. Regarding the symptoms most commonly expressed by a patients with oral cancer, 91(46.4%) answered ulceration which was incorrect response whereas only 28(14.3%) participants correctly stated early oral cancer patients to be asymptomatic.</w:t>
      </w:r>
      <w:r w:rsidR="00B379C8" w:rsidRPr="00BE39C7">
        <w:rPr>
          <w:rFonts w:cstheme="minorHAnsi"/>
          <w:sz w:val="24"/>
          <w:szCs w:val="24"/>
        </w:rPr>
        <w:t xml:space="preserve"> For most common age group of oral cancer, 76(38.8%) participants responded to correct answer i.e. 40-59 years of age whereas 83(42.3%) thought oral cancer increases above 60 years of age.</w:t>
      </w:r>
      <w:r w:rsidR="00D7257C" w:rsidRPr="00BE39C7">
        <w:rPr>
          <w:rFonts w:cstheme="minorHAnsi"/>
          <w:sz w:val="24"/>
          <w:szCs w:val="24"/>
        </w:rPr>
        <w:t xml:space="preserve"> </w:t>
      </w:r>
      <w:proofErr w:type="gramStart"/>
      <w:r w:rsidR="00806CCC">
        <w:rPr>
          <w:rFonts w:cstheme="minorHAnsi"/>
          <w:sz w:val="24"/>
          <w:szCs w:val="24"/>
        </w:rPr>
        <w:t>Seventy</w:t>
      </w:r>
      <w:r w:rsidR="00D7257C" w:rsidRPr="00BE39C7">
        <w:rPr>
          <w:rFonts w:cstheme="minorHAnsi"/>
          <w:sz w:val="24"/>
          <w:szCs w:val="24"/>
        </w:rPr>
        <w:t>(</w:t>
      </w:r>
      <w:proofErr w:type="gramEnd"/>
      <w:r w:rsidR="00D7257C" w:rsidRPr="00BE39C7">
        <w:rPr>
          <w:rFonts w:cstheme="minorHAnsi"/>
          <w:sz w:val="24"/>
          <w:szCs w:val="24"/>
        </w:rPr>
        <w:t>35.7%) of the participants correctly identified ventral-lateral border of tongue as most l</w:t>
      </w:r>
      <w:r w:rsidR="00806CCC">
        <w:rPr>
          <w:rFonts w:cstheme="minorHAnsi"/>
          <w:sz w:val="24"/>
          <w:szCs w:val="24"/>
        </w:rPr>
        <w:t xml:space="preserve">ikely to develop oral cancer. Eighty </w:t>
      </w:r>
      <w:proofErr w:type="gramStart"/>
      <w:r w:rsidR="00806CCC">
        <w:rPr>
          <w:rFonts w:cstheme="minorHAnsi"/>
          <w:sz w:val="24"/>
          <w:szCs w:val="24"/>
        </w:rPr>
        <w:t>six</w:t>
      </w:r>
      <w:r w:rsidR="00D7257C" w:rsidRPr="00BE39C7">
        <w:rPr>
          <w:rFonts w:cstheme="minorHAnsi"/>
          <w:sz w:val="24"/>
          <w:szCs w:val="24"/>
        </w:rPr>
        <w:t>(</w:t>
      </w:r>
      <w:proofErr w:type="gramEnd"/>
      <w:r w:rsidR="00D7257C" w:rsidRPr="00BE39C7">
        <w:rPr>
          <w:rFonts w:cstheme="minorHAnsi"/>
          <w:sz w:val="24"/>
          <w:szCs w:val="24"/>
        </w:rPr>
        <w:t>43.9%) participants stated oral cancer are diagnosed more often in regional or distant stage w</w:t>
      </w:r>
      <w:r w:rsidR="00806CCC">
        <w:rPr>
          <w:rFonts w:cstheme="minorHAnsi"/>
          <w:sz w:val="24"/>
          <w:szCs w:val="24"/>
        </w:rPr>
        <w:t xml:space="preserve">hich was the correct response. Sixty </w:t>
      </w:r>
      <w:proofErr w:type="gramStart"/>
      <w:r w:rsidR="00806CCC">
        <w:rPr>
          <w:rFonts w:cstheme="minorHAnsi"/>
          <w:sz w:val="24"/>
          <w:szCs w:val="24"/>
        </w:rPr>
        <w:t>three</w:t>
      </w:r>
      <w:r w:rsidR="00D7257C" w:rsidRPr="00BE39C7">
        <w:rPr>
          <w:rFonts w:cstheme="minorHAnsi"/>
          <w:sz w:val="24"/>
          <w:szCs w:val="24"/>
        </w:rPr>
        <w:t>(</w:t>
      </w:r>
      <w:proofErr w:type="gramEnd"/>
      <w:r w:rsidR="00D7257C" w:rsidRPr="00BE39C7">
        <w:rPr>
          <w:rFonts w:cstheme="minorHAnsi"/>
          <w:sz w:val="24"/>
          <w:szCs w:val="24"/>
        </w:rPr>
        <w:t xml:space="preserve">32.1%) correctly answered lip cancer to be related with </w:t>
      </w:r>
      <w:r w:rsidR="00BE39C7" w:rsidRPr="00BE39C7">
        <w:rPr>
          <w:rFonts w:cstheme="minorHAnsi"/>
          <w:sz w:val="24"/>
          <w:szCs w:val="24"/>
        </w:rPr>
        <w:t>sun exposure</w:t>
      </w:r>
      <w:r w:rsidR="00D7257C" w:rsidRPr="00BE39C7">
        <w:rPr>
          <w:rFonts w:cstheme="minorHAnsi"/>
          <w:sz w:val="24"/>
          <w:szCs w:val="24"/>
        </w:rPr>
        <w:t xml:space="preserve">. </w:t>
      </w:r>
      <w:r w:rsidR="00806CCC">
        <w:rPr>
          <w:rFonts w:cstheme="minorHAnsi"/>
          <w:sz w:val="24"/>
          <w:szCs w:val="24"/>
        </w:rPr>
        <w:t xml:space="preserve">Ninety </w:t>
      </w:r>
      <w:proofErr w:type="gramStart"/>
      <w:r w:rsidR="00806CCC">
        <w:rPr>
          <w:rFonts w:cstheme="minorHAnsi"/>
          <w:sz w:val="24"/>
          <w:szCs w:val="24"/>
        </w:rPr>
        <w:t>eight</w:t>
      </w:r>
      <w:r w:rsidR="00D7257C" w:rsidRPr="00BE39C7">
        <w:rPr>
          <w:rFonts w:cstheme="minorHAnsi"/>
          <w:sz w:val="24"/>
          <w:szCs w:val="24"/>
        </w:rPr>
        <w:t>(</w:t>
      </w:r>
      <w:proofErr w:type="gramEnd"/>
      <w:r w:rsidR="00D7257C" w:rsidRPr="00BE39C7">
        <w:rPr>
          <w:rFonts w:cstheme="minorHAnsi"/>
          <w:sz w:val="24"/>
          <w:szCs w:val="24"/>
        </w:rPr>
        <w:t>50%) correctly stated that early oral cancer lesion appears as painless red area.</w:t>
      </w:r>
      <w:r w:rsidR="000628EA" w:rsidRPr="00BE39C7">
        <w:rPr>
          <w:rFonts w:cstheme="minorHAnsi"/>
          <w:sz w:val="24"/>
          <w:szCs w:val="24"/>
        </w:rPr>
        <w:t xml:space="preserve"> </w:t>
      </w:r>
      <w:r w:rsidR="00806CCC">
        <w:rPr>
          <w:rFonts w:cstheme="minorHAnsi"/>
          <w:sz w:val="24"/>
          <w:szCs w:val="24"/>
        </w:rPr>
        <w:t xml:space="preserve">Ninety nine </w:t>
      </w:r>
      <w:r w:rsidR="000628EA" w:rsidRPr="00BE39C7">
        <w:rPr>
          <w:rFonts w:cstheme="minorHAnsi"/>
          <w:sz w:val="24"/>
          <w:szCs w:val="24"/>
        </w:rPr>
        <w:t xml:space="preserve">(50.5%) of the medical practitioners </w:t>
      </w:r>
      <w:r w:rsidR="00F23297" w:rsidRPr="00BE39C7">
        <w:rPr>
          <w:rFonts w:cstheme="minorHAnsi"/>
          <w:sz w:val="24"/>
          <w:szCs w:val="24"/>
        </w:rPr>
        <w:t>identified correct way of examining tongue for oral cancer.</w:t>
      </w:r>
      <w:r w:rsidR="006E166B" w:rsidRPr="00BE39C7">
        <w:rPr>
          <w:rFonts w:cstheme="minorHAnsi"/>
          <w:sz w:val="24"/>
          <w:szCs w:val="24"/>
        </w:rPr>
        <w:t xml:space="preserve"> Further 118(60.2%) mentioned </w:t>
      </w:r>
      <w:proofErr w:type="spellStart"/>
      <w:r w:rsidR="006E166B" w:rsidRPr="00BE39C7">
        <w:rPr>
          <w:rFonts w:cstheme="minorHAnsi"/>
          <w:sz w:val="24"/>
          <w:szCs w:val="24"/>
        </w:rPr>
        <w:t>leukoplakia</w:t>
      </w:r>
      <w:proofErr w:type="spellEnd"/>
      <w:r w:rsidR="006E166B" w:rsidRPr="00BE39C7">
        <w:rPr>
          <w:rFonts w:cstheme="minorHAnsi"/>
          <w:sz w:val="24"/>
          <w:szCs w:val="24"/>
        </w:rPr>
        <w:t xml:space="preserve"> to be most likely associated with oral cancer while 110(56.1%) mentioned </w:t>
      </w:r>
      <w:proofErr w:type="spellStart"/>
      <w:r w:rsidR="006E166B" w:rsidRPr="00BE39C7">
        <w:rPr>
          <w:rFonts w:cstheme="minorHAnsi"/>
          <w:sz w:val="24"/>
          <w:szCs w:val="24"/>
        </w:rPr>
        <w:t>erythroplakia</w:t>
      </w:r>
      <w:proofErr w:type="spellEnd"/>
      <w:r w:rsidR="006E166B" w:rsidRPr="00BE39C7">
        <w:rPr>
          <w:rFonts w:cstheme="minorHAnsi"/>
          <w:sz w:val="24"/>
          <w:szCs w:val="24"/>
        </w:rPr>
        <w:t xml:space="preserve"> as the second most common lesion to be associated with oral cancer. </w:t>
      </w:r>
    </w:p>
    <w:p w:rsidR="00981C6D" w:rsidRPr="00BE39C7" w:rsidRDefault="00981C6D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81C6D" w:rsidRPr="00BE39C7" w:rsidRDefault="00981C6D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2350"/>
            <wp:effectExtent l="19050" t="0" r="19050" b="0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166B" w:rsidRPr="00BE39C7" w:rsidRDefault="006E166B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81C6D" w:rsidRPr="00BE39C7" w:rsidRDefault="00981C6D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81C6D" w:rsidRPr="00BE39C7" w:rsidRDefault="00981C6D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81C6D" w:rsidRPr="00BE39C7" w:rsidRDefault="00567732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Majority of the medical practitioner that responded to the survey </w:t>
      </w:r>
      <w:r w:rsidR="00D52879" w:rsidRPr="00BE39C7">
        <w:rPr>
          <w:rFonts w:cstheme="minorHAnsi"/>
          <w:sz w:val="24"/>
          <w:szCs w:val="24"/>
        </w:rPr>
        <w:t>knew</w:t>
      </w:r>
      <w:r w:rsidRPr="00BE39C7">
        <w:rPr>
          <w:rFonts w:cstheme="minorHAnsi"/>
          <w:sz w:val="24"/>
          <w:szCs w:val="24"/>
        </w:rPr>
        <w:t xml:space="preserve"> use of tobacco (189,96.4%),old age (183,93.4%), prior oral cancer lesion (181,92.3%), use of alcohol </w:t>
      </w:r>
      <w:r w:rsidRPr="00BE39C7">
        <w:rPr>
          <w:rFonts w:cstheme="minorHAnsi"/>
          <w:sz w:val="24"/>
          <w:szCs w:val="24"/>
        </w:rPr>
        <w:lastRenderedPageBreak/>
        <w:t>(166,84.7%), family history of cancer (174,88.8%), use of poor fitting denture (128,65.3%), low consumption of fruit (108,55.1%</w:t>
      </w:r>
      <w:r w:rsidR="00D52879" w:rsidRPr="00BE39C7">
        <w:rPr>
          <w:rFonts w:cstheme="minorHAnsi"/>
          <w:sz w:val="24"/>
          <w:szCs w:val="24"/>
        </w:rPr>
        <w:t xml:space="preserve">) as the risk factor for oral cancer. </w:t>
      </w:r>
      <w:r w:rsidR="00806CCC">
        <w:rPr>
          <w:rFonts w:cstheme="minorHAnsi"/>
          <w:sz w:val="24"/>
          <w:szCs w:val="24"/>
        </w:rPr>
        <w:t xml:space="preserve">One hundred forty one </w:t>
      </w:r>
      <w:r w:rsidR="00D52879" w:rsidRPr="00BE39C7">
        <w:rPr>
          <w:rFonts w:cstheme="minorHAnsi"/>
          <w:sz w:val="24"/>
          <w:szCs w:val="24"/>
        </w:rPr>
        <w:t xml:space="preserve">(71.9%) considered HPV as the risk factor. Use of spicy food and poor oral hygiene received response </w:t>
      </w:r>
      <w:proofErr w:type="gramStart"/>
      <w:r w:rsidR="00D52879" w:rsidRPr="00BE39C7">
        <w:rPr>
          <w:rFonts w:cstheme="minorHAnsi"/>
          <w:sz w:val="24"/>
          <w:szCs w:val="24"/>
        </w:rPr>
        <w:t>of  102</w:t>
      </w:r>
      <w:proofErr w:type="gramEnd"/>
      <w:r w:rsidR="00D52879" w:rsidRPr="00BE39C7">
        <w:rPr>
          <w:rFonts w:cstheme="minorHAnsi"/>
          <w:sz w:val="24"/>
          <w:szCs w:val="24"/>
        </w:rPr>
        <w:t>(52.0%) and 133(67.9%) respectively whereas obesity, hot beverage and food despite being the wrong risk factors received response of 75(38.3%) and  66(33.7%) respectively.</w:t>
      </w:r>
    </w:p>
    <w:p w:rsidR="00D52879" w:rsidRPr="00BE39C7" w:rsidRDefault="00D52879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BA5D3F" w:rsidRPr="00BE39C7" w:rsidRDefault="00BA5D3F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705475" cy="3152775"/>
            <wp:effectExtent l="19050" t="0" r="9525" b="0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A5D3F" w:rsidRPr="00BE39C7" w:rsidRDefault="00BA5D3F" w:rsidP="00EB366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1907" w:rsidRPr="00BE39C7" w:rsidTr="008305FB">
        <w:tc>
          <w:tcPr>
            <w:tcW w:w="9576" w:type="dxa"/>
            <w:gridSpan w:val="3"/>
          </w:tcPr>
          <w:p w:rsidR="00381907" w:rsidRPr="00BE39C7" w:rsidRDefault="00381907" w:rsidP="00EB366A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BE39C7">
              <w:rPr>
                <w:rFonts w:cstheme="minorHAnsi"/>
                <w:sz w:val="24"/>
                <w:szCs w:val="24"/>
              </w:rPr>
              <w:t>Table 1: Grading of participants about knowledge of oral cancer</w:t>
            </w:r>
          </w:p>
        </w:tc>
      </w:tr>
      <w:tr w:rsidR="00381907" w:rsidRPr="00BE39C7" w:rsidTr="00381907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Percentage</w:t>
            </w:r>
          </w:p>
        </w:tc>
      </w:tr>
      <w:tr w:rsidR="00381907" w:rsidRPr="00BE39C7" w:rsidTr="00381907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28.1</w:t>
            </w:r>
          </w:p>
        </w:tc>
      </w:tr>
      <w:tr w:rsidR="00381907" w:rsidRPr="00BE39C7" w:rsidTr="00381907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65.3</w:t>
            </w:r>
          </w:p>
        </w:tc>
      </w:tr>
      <w:tr w:rsidR="00381907" w:rsidRPr="00BE39C7" w:rsidTr="00381907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6.6</w:t>
            </w:r>
          </w:p>
        </w:tc>
      </w:tr>
    </w:tbl>
    <w:p w:rsidR="00BA5D3F" w:rsidRPr="00BE39C7" w:rsidRDefault="00BA5D3F" w:rsidP="00EB366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1907" w:rsidRPr="00BE39C7" w:rsidTr="008305FB">
        <w:tc>
          <w:tcPr>
            <w:tcW w:w="9576" w:type="dxa"/>
            <w:gridSpan w:val="3"/>
          </w:tcPr>
          <w:p w:rsidR="00381907" w:rsidRPr="00BE39C7" w:rsidRDefault="00381907" w:rsidP="00EB366A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BE39C7">
              <w:rPr>
                <w:rFonts w:cstheme="minorHAnsi"/>
                <w:sz w:val="24"/>
                <w:szCs w:val="24"/>
              </w:rPr>
              <w:t>Table 2: Grading of participants about knowledge of risk factor of oral cancer</w:t>
            </w:r>
          </w:p>
        </w:tc>
      </w:tr>
      <w:tr w:rsidR="00381907" w:rsidRPr="00BE39C7" w:rsidTr="008305FB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Percentage</w:t>
            </w:r>
          </w:p>
        </w:tc>
      </w:tr>
      <w:tr w:rsidR="00381907" w:rsidRPr="00BE39C7" w:rsidTr="008305FB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18.9</w:t>
            </w:r>
          </w:p>
        </w:tc>
      </w:tr>
      <w:tr w:rsidR="00381907" w:rsidRPr="00BE39C7" w:rsidTr="008305FB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46.4</w:t>
            </w:r>
          </w:p>
        </w:tc>
      </w:tr>
      <w:tr w:rsidR="00381907" w:rsidRPr="00BE39C7" w:rsidTr="008305FB"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192" w:type="dxa"/>
          </w:tcPr>
          <w:p w:rsidR="00381907" w:rsidRPr="00BE39C7" w:rsidRDefault="00381907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34.7</w:t>
            </w:r>
          </w:p>
        </w:tc>
      </w:tr>
    </w:tbl>
    <w:p w:rsidR="00381907" w:rsidRPr="00BE39C7" w:rsidRDefault="00381907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381907" w:rsidRPr="00BE39C7" w:rsidRDefault="00381907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Table 1 and 2 shows the grading of medical practitioners based on the indexes for knowledge of oral cancer and its risk factor. </w:t>
      </w:r>
      <w:r w:rsidR="00806CCC">
        <w:rPr>
          <w:rFonts w:cstheme="minorHAnsi"/>
          <w:sz w:val="24"/>
          <w:szCs w:val="24"/>
        </w:rPr>
        <w:t xml:space="preserve">Among the participants, </w:t>
      </w:r>
      <w:r w:rsidRPr="00BE39C7">
        <w:rPr>
          <w:rFonts w:cstheme="minorHAnsi"/>
          <w:sz w:val="24"/>
          <w:szCs w:val="24"/>
        </w:rPr>
        <w:t>65.3% had average</w:t>
      </w:r>
      <w:r w:rsidR="00B87166" w:rsidRPr="00BE39C7">
        <w:rPr>
          <w:rFonts w:cstheme="minorHAnsi"/>
          <w:sz w:val="24"/>
          <w:szCs w:val="24"/>
        </w:rPr>
        <w:t xml:space="preserve"> knowledge of oral cancer, 28.1% had low knowledge and 6.6% had high knowledge of oral cancer. </w:t>
      </w:r>
      <w:r w:rsidR="00806CCC">
        <w:rPr>
          <w:rFonts w:cstheme="minorHAnsi"/>
          <w:sz w:val="24"/>
          <w:szCs w:val="24"/>
        </w:rPr>
        <w:t xml:space="preserve">Similarly </w:t>
      </w:r>
      <w:r w:rsidR="00B87166" w:rsidRPr="00BE39C7">
        <w:rPr>
          <w:rFonts w:cstheme="minorHAnsi"/>
          <w:sz w:val="24"/>
          <w:szCs w:val="24"/>
        </w:rPr>
        <w:t>46.4% had average knowledge of risk factor of oral cancer, 18.9% had low knowledge while 34.7% had high knowledge about risk factor of oral cancer.</w:t>
      </w:r>
    </w:p>
    <w:p w:rsidR="00634A33" w:rsidRPr="00BE39C7" w:rsidRDefault="00634A33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634A33" w:rsidRPr="00BE39C7" w:rsidRDefault="00634A33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F25ACD" w:rsidRPr="00BE39C7" w:rsidRDefault="00F25ACD" w:rsidP="00EB366A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F25ACD" w:rsidRPr="00BE39C7" w:rsidRDefault="00634A33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b/>
          <w:sz w:val="24"/>
          <w:szCs w:val="24"/>
        </w:rPr>
        <w:t>Practice related to oral cancer screening and examination</w:t>
      </w:r>
    </w:p>
    <w:p w:rsidR="00F25ACD" w:rsidRPr="00BE39C7" w:rsidRDefault="00F25ACD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With regard to provision of oral cancer examination</w:t>
      </w:r>
      <w:proofErr w:type="gramStart"/>
      <w:r w:rsidRPr="00BE39C7">
        <w:rPr>
          <w:rFonts w:cstheme="minorHAnsi"/>
          <w:sz w:val="24"/>
          <w:szCs w:val="24"/>
        </w:rPr>
        <w:t>,137</w:t>
      </w:r>
      <w:proofErr w:type="gramEnd"/>
      <w:r w:rsidRPr="00BE39C7">
        <w:rPr>
          <w:rFonts w:cstheme="minorHAnsi"/>
          <w:sz w:val="24"/>
          <w:szCs w:val="24"/>
        </w:rPr>
        <w:t>(69.9%) of medical practi</w:t>
      </w:r>
      <w:r w:rsidR="00C73001" w:rsidRPr="00BE39C7">
        <w:rPr>
          <w:rFonts w:cstheme="minorHAnsi"/>
          <w:sz w:val="24"/>
          <w:szCs w:val="24"/>
        </w:rPr>
        <w:t>ti</w:t>
      </w:r>
      <w:r w:rsidRPr="00BE39C7">
        <w:rPr>
          <w:rFonts w:cstheme="minorHAnsi"/>
          <w:sz w:val="24"/>
          <w:szCs w:val="24"/>
        </w:rPr>
        <w:t xml:space="preserve">oner didn’t provide oral cancer examination </w:t>
      </w:r>
      <w:r w:rsidR="00C73001" w:rsidRPr="00BE39C7">
        <w:rPr>
          <w:rFonts w:cstheme="minorHAnsi"/>
          <w:sz w:val="24"/>
          <w:szCs w:val="24"/>
        </w:rPr>
        <w:t xml:space="preserve"> </w:t>
      </w:r>
      <w:r w:rsidRPr="00BE39C7">
        <w:rPr>
          <w:rFonts w:cstheme="minorHAnsi"/>
          <w:sz w:val="24"/>
          <w:szCs w:val="24"/>
        </w:rPr>
        <w:t xml:space="preserve"> ,45(23%) perfo</w:t>
      </w:r>
      <w:r w:rsidR="00806CCC">
        <w:rPr>
          <w:rFonts w:cstheme="minorHAnsi"/>
          <w:sz w:val="24"/>
          <w:szCs w:val="24"/>
        </w:rPr>
        <w:t>r</w:t>
      </w:r>
      <w:r w:rsidRPr="00BE39C7">
        <w:rPr>
          <w:rFonts w:cstheme="minorHAnsi"/>
          <w:sz w:val="24"/>
          <w:szCs w:val="24"/>
        </w:rPr>
        <w:t>med oral cancer examination in  1-20%  whereas 14(7.1%)provided oral cancer examination to more than 20% of the patient age group 18-39</w:t>
      </w:r>
      <w:r w:rsidR="00C73001" w:rsidRPr="00BE39C7">
        <w:rPr>
          <w:rFonts w:cstheme="minorHAnsi"/>
          <w:sz w:val="24"/>
          <w:szCs w:val="24"/>
        </w:rPr>
        <w:t xml:space="preserve"> at their in</w:t>
      </w:r>
      <w:r w:rsidR="00806CCC">
        <w:rPr>
          <w:rFonts w:cstheme="minorHAnsi"/>
          <w:sz w:val="24"/>
          <w:szCs w:val="24"/>
        </w:rPr>
        <w:t>i</w:t>
      </w:r>
      <w:r w:rsidR="00C73001" w:rsidRPr="00BE39C7">
        <w:rPr>
          <w:rFonts w:cstheme="minorHAnsi"/>
          <w:sz w:val="24"/>
          <w:szCs w:val="24"/>
        </w:rPr>
        <w:t>tial appointment.</w:t>
      </w:r>
      <w:r w:rsidR="00806CCC">
        <w:rPr>
          <w:rFonts w:cstheme="minorHAnsi"/>
          <w:sz w:val="24"/>
          <w:szCs w:val="24"/>
        </w:rPr>
        <w:t xml:space="preserve"> </w:t>
      </w:r>
      <w:r w:rsidR="00C73001" w:rsidRPr="00BE39C7">
        <w:rPr>
          <w:rFonts w:cstheme="minorHAnsi"/>
          <w:sz w:val="24"/>
          <w:szCs w:val="24"/>
        </w:rPr>
        <w:t xml:space="preserve">For recall </w:t>
      </w:r>
      <w:r w:rsidR="00806CCC">
        <w:rPr>
          <w:rFonts w:cstheme="minorHAnsi"/>
          <w:sz w:val="24"/>
          <w:szCs w:val="24"/>
        </w:rPr>
        <w:t xml:space="preserve">appointment of </w:t>
      </w:r>
      <w:r w:rsidR="00C73001" w:rsidRPr="00BE39C7">
        <w:rPr>
          <w:rFonts w:cstheme="minorHAnsi"/>
          <w:sz w:val="24"/>
          <w:szCs w:val="24"/>
        </w:rPr>
        <w:t>same age group</w:t>
      </w:r>
      <w:r w:rsidR="00806CCC">
        <w:rPr>
          <w:rFonts w:cstheme="minorHAnsi"/>
          <w:sz w:val="24"/>
          <w:szCs w:val="24"/>
        </w:rPr>
        <w:t>,</w:t>
      </w:r>
      <w:r w:rsidR="00C73001" w:rsidRPr="00BE39C7">
        <w:rPr>
          <w:rFonts w:cstheme="minorHAnsi"/>
          <w:sz w:val="24"/>
          <w:szCs w:val="24"/>
        </w:rPr>
        <w:t xml:space="preserve"> 128(65.3%) of medical practitioner didn’t provide oral cancer examination   ,57(29.1%) perfo</w:t>
      </w:r>
      <w:r w:rsidR="00806CCC">
        <w:rPr>
          <w:rFonts w:cstheme="minorHAnsi"/>
          <w:sz w:val="24"/>
          <w:szCs w:val="24"/>
        </w:rPr>
        <w:t>r</w:t>
      </w:r>
      <w:r w:rsidR="00C73001" w:rsidRPr="00BE39C7">
        <w:rPr>
          <w:rFonts w:cstheme="minorHAnsi"/>
          <w:sz w:val="24"/>
          <w:szCs w:val="24"/>
        </w:rPr>
        <w:t xml:space="preserve">med oral cancer examination in  1-20%  whereas 11(5.6%)provided oral cancer examination to more than 20% .[fig 8] </w:t>
      </w:r>
      <w:r w:rsidR="00C96ABE" w:rsidRPr="00BE39C7">
        <w:rPr>
          <w:rFonts w:cstheme="minorHAnsi"/>
          <w:sz w:val="24"/>
          <w:szCs w:val="24"/>
        </w:rPr>
        <w:t>whereas for 40 and above 90(45.9%) of medical practitioner didn’t provide oral cancer examination   ,77(39.3%) perfo</w:t>
      </w:r>
      <w:r w:rsidR="00806CCC">
        <w:rPr>
          <w:rFonts w:cstheme="minorHAnsi"/>
          <w:sz w:val="24"/>
          <w:szCs w:val="24"/>
        </w:rPr>
        <w:t>r</w:t>
      </w:r>
      <w:r w:rsidR="00C96ABE" w:rsidRPr="00BE39C7">
        <w:rPr>
          <w:rFonts w:cstheme="minorHAnsi"/>
          <w:sz w:val="24"/>
          <w:szCs w:val="24"/>
        </w:rPr>
        <w:t>med oral cancer examination in  1-20%  whereas 29(14.8%)provided oral cancer examination to more than 20% of the patient at their in</w:t>
      </w:r>
      <w:r w:rsidR="00806CCC">
        <w:rPr>
          <w:rFonts w:cstheme="minorHAnsi"/>
          <w:sz w:val="24"/>
          <w:szCs w:val="24"/>
        </w:rPr>
        <w:t>i</w:t>
      </w:r>
      <w:r w:rsidR="00C96ABE" w:rsidRPr="00BE39C7">
        <w:rPr>
          <w:rFonts w:cstheme="minorHAnsi"/>
          <w:sz w:val="24"/>
          <w:szCs w:val="24"/>
        </w:rPr>
        <w:t>tial appointment.</w:t>
      </w:r>
      <w:r w:rsidR="00806CCC">
        <w:rPr>
          <w:rFonts w:cstheme="minorHAnsi"/>
          <w:sz w:val="24"/>
          <w:szCs w:val="24"/>
        </w:rPr>
        <w:t xml:space="preserve"> </w:t>
      </w:r>
      <w:r w:rsidR="00C96ABE" w:rsidRPr="00BE39C7">
        <w:rPr>
          <w:rFonts w:cstheme="minorHAnsi"/>
          <w:sz w:val="24"/>
          <w:szCs w:val="24"/>
        </w:rPr>
        <w:t xml:space="preserve">For recall </w:t>
      </w:r>
      <w:r w:rsidR="00806CCC">
        <w:rPr>
          <w:rFonts w:cstheme="minorHAnsi"/>
          <w:sz w:val="24"/>
          <w:szCs w:val="24"/>
        </w:rPr>
        <w:t xml:space="preserve">appointment of </w:t>
      </w:r>
      <w:r w:rsidR="00C96ABE" w:rsidRPr="00BE39C7">
        <w:rPr>
          <w:rFonts w:cstheme="minorHAnsi"/>
          <w:sz w:val="24"/>
          <w:szCs w:val="24"/>
        </w:rPr>
        <w:t>same age group</w:t>
      </w:r>
      <w:r w:rsidR="00806CCC">
        <w:rPr>
          <w:rFonts w:cstheme="minorHAnsi"/>
          <w:sz w:val="24"/>
          <w:szCs w:val="24"/>
        </w:rPr>
        <w:t>,</w:t>
      </w:r>
      <w:r w:rsidR="00C96ABE" w:rsidRPr="00BE39C7">
        <w:rPr>
          <w:rFonts w:cstheme="minorHAnsi"/>
          <w:sz w:val="24"/>
          <w:szCs w:val="24"/>
        </w:rPr>
        <w:t xml:space="preserve"> 89(45.4%) of medical practitioner didn’t provide oral cancer examination   </w:t>
      </w:r>
      <w:proofErr w:type="gramStart"/>
      <w:r w:rsidR="00C96ABE" w:rsidRPr="00BE39C7">
        <w:rPr>
          <w:rFonts w:cstheme="minorHAnsi"/>
          <w:sz w:val="24"/>
          <w:szCs w:val="24"/>
        </w:rPr>
        <w:t>,83</w:t>
      </w:r>
      <w:proofErr w:type="gramEnd"/>
      <w:r w:rsidR="00C96ABE" w:rsidRPr="00BE39C7">
        <w:rPr>
          <w:rFonts w:cstheme="minorHAnsi"/>
          <w:sz w:val="24"/>
          <w:szCs w:val="24"/>
        </w:rPr>
        <w:t>(42.3%) perfo</w:t>
      </w:r>
      <w:r w:rsidR="00806CCC">
        <w:rPr>
          <w:rFonts w:cstheme="minorHAnsi"/>
          <w:sz w:val="24"/>
          <w:szCs w:val="24"/>
        </w:rPr>
        <w:t>r</w:t>
      </w:r>
      <w:r w:rsidR="00C96ABE" w:rsidRPr="00BE39C7">
        <w:rPr>
          <w:rFonts w:cstheme="minorHAnsi"/>
          <w:sz w:val="24"/>
          <w:szCs w:val="24"/>
        </w:rPr>
        <w:t>med oral cancer examination in  1-20%  whereas 24(12.2%)provided oral cancer examination to more than 20%</w:t>
      </w:r>
      <w:r w:rsidR="00806CCC">
        <w:rPr>
          <w:rFonts w:cstheme="minorHAnsi"/>
          <w:sz w:val="24"/>
          <w:szCs w:val="24"/>
        </w:rPr>
        <w:t>.</w:t>
      </w:r>
    </w:p>
    <w:p w:rsidR="00C73001" w:rsidRPr="00BE39C7" w:rsidRDefault="00C73001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F25ACD" w:rsidRPr="00BE39C7" w:rsidRDefault="00F25ACD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634A33" w:rsidRPr="00BE39C7" w:rsidRDefault="006439DA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524500" cy="2200275"/>
            <wp:effectExtent l="0" t="0" r="0" b="142875"/>
            <wp:docPr id="1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96A34" w:rsidRPr="00BE39C7" w:rsidRDefault="00C96A34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C96A34" w:rsidRPr="00BE39C7" w:rsidRDefault="00C96A34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C96A34" w:rsidRPr="00BE39C7" w:rsidRDefault="00C96A34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153025" cy="2057400"/>
            <wp:effectExtent l="0" t="0" r="0" b="76200"/>
            <wp:docPr id="11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06549" w:rsidRPr="00BE39C7" w:rsidRDefault="00106549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106549" w:rsidRPr="00BE39C7" w:rsidRDefault="00106549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EF0AB8" w:rsidRPr="00BE39C7" w:rsidRDefault="00106549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As the reason </w:t>
      </w:r>
      <w:proofErr w:type="gramStart"/>
      <w:r w:rsidRPr="00BE39C7">
        <w:rPr>
          <w:rFonts w:cstheme="minorHAnsi"/>
          <w:sz w:val="24"/>
          <w:szCs w:val="24"/>
        </w:rPr>
        <w:t>for  not</w:t>
      </w:r>
      <w:proofErr w:type="gramEnd"/>
      <w:r w:rsidRPr="00BE39C7">
        <w:rPr>
          <w:rFonts w:cstheme="minorHAnsi"/>
          <w:sz w:val="24"/>
          <w:szCs w:val="24"/>
        </w:rPr>
        <w:t xml:space="preserve"> providing oral cancer  examination in 18-39 years</w:t>
      </w:r>
      <w:r w:rsidR="00EC053E">
        <w:rPr>
          <w:rFonts w:cstheme="minorHAnsi"/>
          <w:sz w:val="24"/>
          <w:szCs w:val="24"/>
        </w:rPr>
        <w:t>,</w:t>
      </w:r>
      <w:r w:rsidRPr="00BE39C7">
        <w:rPr>
          <w:rFonts w:cstheme="minorHAnsi"/>
          <w:sz w:val="24"/>
          <w:szCs w:val="24"/>
        </w:rPr>
        <w:t xml:space="preserve"> 77(39.3%)highest response stated  it was not necessary</w:t>
      </w:r>
      <w:r w:rsidR="00EC053E">
        <w:rPr>
          <w:rFonts w:cstheme="minorHAnsi"/>
          <w:sz w:val="24"/>
          <w:szCs w:val="24"/>
        </w:rPr>
        <w:t>,</w:t>
      </w:r>
      <w:r w:rsidRPr="00BE39C7">
        <w:rPr>
          <w:rFonts w:cstheme="minorHAnsi"/>
          <w:sz w:val="24"/>
          <w:szCs w:val="24"/>
        </w:rPr>
        <w:t xml:space="preserve"> whereas for 40 and above</w:t>
      </w:r>
      <w:r w:rsidR="00EC053E">
        <w:rPr>
          <w:rFonts w:cstheme="minorHAnsi"/>
          <w:sz w:val="24"/>
          <w:szCs w:val="24"/>
        </w:rPr>
        <w:t>,</w:t>
      </w:r>
      <w:r w:rsidRPr="00BE39C7">
        <w:rPr>
          <w:rFonts w:cstheme="minorHAnsi"/>
          <w:sz w:val="24"/>
          <w:szCs w:val="24"/>
        </w:rPr>
        <w:t xml:space="preserve">  takes too much time received highest response of 77(39.3</w:t>
      </w:r>
      <w:r w:rsidR="00A67255" w:rsidRPr="00BE39C7">
        <w:rPr>
          <w:rFonts w:cstheme="minorHAnsi"/>
          <w:sz w:val="24"/>
          <w:szCs w:val="24"/>
        </w:rPr>
        <w:t>5%</w:t>
      </w:r>
      <w:r w:rsidRPr="00BE39C7">
        <w:rPr>
          <w:rFonts w:cstheme="minorHAnsi"/>
          <w:sz w:val="24"/>
          <w:szCs w:val="24"/>
        </w:rPr>
        <w:t>)</w:t>
      </w:r>
      <w:r w:rsidR="00EC053E">
        <w:rPr>
          <w:rFonts w:cstheme="minorHAnsi"/>
          <w:sz w:val="24"/>
          <w:szCs w:val="24"/>
        </w:rPr>
        <w:t>. Regarding</w:t>
      </w:r>
      <w:r w:rsidR="00A67255" w:rsidRPr="00BE39C7">
        <w:rPr>
          <w:rFonts w:cstheme="minorHAnsi"/>
          <w:sz w:val="24"/>
          <w:szCs w:val="24"/>
        </w:rPr>
        <w:t xml:space="preserve"> the examination for edentulous </w:t>
      </w:r>
      <w:proofErr w:type="gramStart"/>
      <w:r w:rsidR="00A67255" w:rsidRPr="00BE39C7">
        <w:rPr>
          <w:rFonts w:cstheme="minorHAnsi"/>
          <w:sz w:val="24"/>
          <w:szCs w:val="24"/>
        </w:rPr>
        <w:t>patient  ,23</w:t>
      </w:r>
      <w:proofErr w:type="gramEnd"/>
      <w:r w:rsidR="00A67255" w:rsidRPr="00BE39C7">
        <w:rPr>
          <w:rFonts w:cstheme="minorHAnsi"/>
          <w:sz w:val="24"/>
          <w:szCs w:val="24"/>
        </w:rPr>
        <w:t>(11.7)performed oral cancer examination in more than 20%of the time and 139(68.9</w:t>
      </w:r>
      <w:r w:rsidR="00EC053E">
        <w:rPr>
          <w:rFonts w:cstheme="minorHAnsi"/>
          <w:sz w:val="24"/>
          <w:szCs w:val="24"/>
        </w:rPr>
        <w:t>%</w:t>
      </w:r>
      <w:r w:rsidR="00A67255" w:rsidRPr="00BE39C7">
        <w:rPr>
          <w:rFonts w:cstheme="minorHAnsi"/>
          <w:sz w:val="24"/>
          <w:szCs w:val="24"/>
        </w:rPr>
        <w:t>)didn’t provide any examination.</w:t>
      </w:r>
      <w:r w:rsidR="00EC053E">
        <w:rPr>
          <w:rFonts w:cstheme="minorHAnsi"/>
          <w:sz w:val="24"/>
          <w:szCs w:val="24"/>
        </w:rPr>
        <w:t xml:space="preserve"> </w:t>
      </w:r>
      <w:r w:rsidR="00A67255" w:rsidRPr="00BE39C7">
        <w:rPr>
          <w:rFonts w:cstheme="minorHAnsi"/>
          <w:sz w:val="24"/>
          <w:szCs w:val="24"/>
        </w:rPr>
        <w:t>When asked about the practice of lymph node palpation</w:t>
      </w:r>
      <w:r w:rsidR="00EC053E">
        <w:rPr>
          <w:rFonts w:cstheme="minorHAnsi"/>
          <w:sz w:val="24"/>
          <w:szCs w:val="24"/>
        </w:rPr>
        <w:t>,</w:t>
      </w:r>
      <w:r w:rsidR="00A67255" w:rsidRPr="00BE39C7">
        <w:rPr>
          <w:rFonts w:cstheme="minorHAnsi"/>
          <w:sz w:val="24"/>
          <w:szCs w:val="24"/>
        </w:rPr>
        <w:t xml:space="preserve"> only 11(5.6%) of the medical practitioner palpated lymph node of 81-100%of their pat</w:t>
      </w:r>
      <w:r w:rsidR="00EC053E">
        <w:rPr>
          <w:rFonts w:cstheme="minorHAnsi"/>
          <w:sz w:val="24"/>
          <w:szCs w:val="24"/>
        </w:rPr>
        <w:t>ients while 44(22.4%</w:t>
      </w:r>
      <w:proofErr w:type="gramStart"/>
      <w:r w:rsidR="00EC053E">
        <w:rPr>
          <w:rFonts w:cstheme="minorHAnsi"/>
          <w:sz w:val="24"/>
          <w:szCs w:val="24"/>
        </w:rPr>
        <w:t>)didn’t</w:t>
      </w:r>
      <w:proofErr w:type="gramEnd"/>
      <w:r w:rsidR="00EC053E">
        <w:rPr>
          <w:rFonts w:cstheme="minorHAnsi"/>
          <w:sz w:val="24"/>
          <w:szCs w:val="24"/>
        </w:rPr>
        <w:t xml:space="preserve"> pal</w:t>
      </w:r>
      <w:r w:rsidR="00A67255" w:rsidRPr="00BE39C7">
        <w:rPr>
          <w:rFonts w:cstheme="minorHAnsi"/>
          <w:sz w:val="24"/>
          <w:szCs w:val="24"/>
        </w:rPr>
        <w:t>p</w:t>
      </w:r>
      <w:r w:rsidR="00EC053E">
        <w:rPr>
          <w:rFonts w:cstheme="minorHAnsi"/>
          <w:sz w:val="24"/>
          <w:szCs w:val="24"/>
        </w:rPr>
        <w:t>a</w:t>
      </w:r>
      <w:r w:rsidR="00A67255" w:rsidRPr="00BE39C7">
        <w:rPr>
          <w:rFonts w:cstheme="minorHAnsi"/>
          <w:sz w:val="24"/>
          <w:szCs w:val="24"/>
        </w:rPr>
        <w:t>te the lymph node of  the patients.</w:t>
      </w:r>
    </w:p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EF0AB8" w:rsidRPr="00BE39C7" w:rsidTr="008305FB">
        <w:tc>
          <w:tcPr>
            <w:tcW w:w="7182" w:type="dxa"/>
            <w:gridSpan w:val="3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sz w:val="24"/>
                <w:szCs w:val="24"/>
              </w:rPr>
              <w:t>Table 3 : routine lymph node palpation in adult patient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Number of medical practitioners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percentage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22.4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1%-20%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28.6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21%-40%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19.9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41%-60%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14.8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61%-80%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8.7</w:t>
            </w:r>
          </w:p>
        </w:tc>
      </w:tr>
      <w:tr w:rsidR="00EF0AB8" w:rsidRPr="00BE39C7" w:rsidTr="00EF0AB8"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81%-100%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EF0AB8" w:rsidRPr="00BE39C7" w:rsidRDefault="00EF0AB8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5.6</w:t>
            </w:r>
          </w:p>
        </w:tc>
      </w:tr>
    </w:tbl>
    <w:p w:rsidR="00C96A34" w:rsidRPr="00BE39C7" w:rsidRDefault="00C96A34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In past 12 </w:t>
      </w:r>
      <w:r w:rsidR="00EC053E" w:rsidRPr="00BE39C7">
        <w:rPr>
          <w:rFonts w:cstheme="minorHAnsi"/>
          <w:sz w:val="24"/>
          <w:szCs w:val="24"/>
        </w:rPr>
        <w:t>months,</w:t>
      </w:r>
      <w:r w:rsidRPr="00BE39C7">
        <w:rPr>
          <w:rFonts w:cstheme="minorHAnsi"/>
          <w:sz w:val="24"/>
          <w:szCs w:val="24"/>
        </w:rPr>
        <w:t xml:space="preserve"> only 86(43.7%) of medical practitioners have biopsied their patients for suspicious oral lesions where as 110 (56.1%) had not biopsied any of their patients for </w:t>
      </w:r>
      <w:r w:rsidR="00114F61" w:rsidRPr="00BE39C7">
        <w:rPr>
          <w:rFonts w:cstheme="minorHAnsi"/>
          <w:sz w:val="24"/>
          <w:szCs w:val="24"/>
        </w:rPr>
        <w:t xml:space="preserve">diagnosis of </w:t>
      </w:r>
      <w:r w:rsidRPr="00BE39C7">
        <w:rPr>
          <w:rFonts w:cstheme="minorHAnsi"/>
          <w:sz w:val="24"/>
          <w:szCs w:val="24"/>
        </w:rPr>
        <w:t xml:space="preserve">suspicious oral lesions. </w:t>
      </w:r>
    </w:p>
    <w:p w:rsidR="00114F61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In past 12 mont</w:t>
      </w:r>
      <w:r w:rsidR="00114F61" w:rsidRPr="00BE39C7">
        <w:rPr>
          <w:rFonts w:cstheme="minorHAnsi"/>
          <w:sz w:val="24"/>
          <w:szCs w:val="24"/>
        </w:rPr>
        <w:t>h</w:t>
      </w:r>
      <w:r w:rsidRPr="00BE39C7">
        <w:rPr>
          <w:rFonts w:cstheme="minorHAnsi"/>
          <w:sz w:val="24"/>
          <w:szCs w:val="24"/>
        </w:rPr>
        <w:t>s 77</w:t>
      </w:r>
      <w:r w:rsidR="00EC053E">
        <w:rPr>
          <w:rFonts w:cstheme="minorHAnsi"/>
          <w:sz w:val="24"/>
          <w:szCs w:val="24"/>
        </w:rPr>
        <w:t>(39.3%) of the medical practitioner</w:t>
      </w:r>
      <w:r w:rsidRPr="00BE39C7">
        <w:rPr>
          <w:rFonts w:cstheme="minorHAnsi"/>
          <w:sz w:val="24"/>
          <w:szCs w:val="24"/>
        </w:rPr>
        <w:t xml:space="preserve">s surveyed </w:t>
      </w:r>
      <w:r w:rsidR="00114F61" w:rsidRPr="00BE39C7">
        <w:rPr>
          <w:rFonts w:cstheme="minorHAnsi"/>
          <w:sz w:val="24"/>
          <w:szCs w:val="24"/>
        </w:rPr>
        <w:t xml:space="preserve">had not refer any of their patients for diagnosis of suspicious oral lesions while 119(60.7%) had refer their patients for diagnosis of suspicious oral lesions. </w:t>
      </w:r>
    </w:p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Of those</w:t>
      </w:r>
      <w:r w:rsidR="00EC053E">
        <w:rPr>
          <w:rFonts w:cstheme="minorHAnsi"/>
          <w:sz w:val="24"/>
          <w:szCs w:val="24"/>
        </w:rPr>
        <w:t xml:space="preserve"> medical practitioner surveyed, </w:t>
      </w:r>
      <w:r w:rsidRPr="00BE39C7">
        <w:rPr>
          <w:rFonts w:cstheme="minorHAnsi"/>
          <w:sz w:val="24"/>
          <w:szCs w:val="24"/>
        </w:rPr>
        <w:t xml:space="preserve">127(64.8%) </w:t>
      </w:r>
      <w:r w:rsidR="00EC053E" w:rsidRPr="00BE39C7">
        <w:rPr>
          <w:rFonts w:cstheme="minorHAnsi"/>
          <w:sz w:val="24"/>
          <w:szCs w:val="24"/>
        </w:rPr>
        <w:t>ref</w:t>
      </w:r>
      <w:r w:rsidR="00EC053E">
        <w:rPr>
          <w:rFonts w:cstheme="minorHAnsi"/>
          <w:sz w:val="24"/>
          <w:szCs w:val="24"/>
        </w:rPr>
        <w:t>e</w:t>
      </w:r>
      <w:r w:rsidR="00EC053E" w:rsidRPr="00BE39C7">
        <w:rPr>
          <w:rFonts w:cstheme="minorHAnsi"/>
          <w:sz w:val="24"/>
          <w:szCs w:val="24"/>
        </w:rPr>
        <w:t>rred</w:t>
      </w:r>
      <w:r w:rsidRPr="00BE39C7">
        <w:rPr>
          <w:rFonts w:cstheme="minorHAnsi"/>
          <w:sz w:val="24"/>
          <w:szCs w:val="24"/>
        </w:rPr>
        <w:t xml:space="preserve"> patients with suspicious oral lesions to oral and maxillofacial surgeon, 45(23%) </w:t>
      </w:r>
      <w:r w:rsidR="00EC053E" w:rsidRPr="00BE39C7">
        <w:rPr>
          <w:rFonts w:cstheme="minorHAnsi"/>
          <w:sz w:val="24"/>
          <w:szCs w:val="24"/>
        </w:rPr>
        <w:t>referred</w:t>
      </w:r>
      <w:r w:rsidRPr="00BE39C7">
        <w:rPr>
          <w:rFonts w:cstheme="minorHAnsi"/>
          <w:sz w:val="24"/>
          <w:szCs w:val="24"/>
        </w:rPr>
        <w:t xml:space="preserve"> such patients to oral surgeon, 22(11.2%) preferred referring to ENT specialist, while 2 (1%) chose to refer to dermatologist.</w:t>
      </w:r>
    </w:p>
    <w:p w:rsidR="00114F61" w:rsidRPr="00BE39C7" w:rsidRDefault="00114F61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C31F5" w:rsidRPr="00BE39C7" w:rsidRDefault="009C31F5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9C31F5" w:rsidRPr="00BE39C7" w:rsidRDefault="009C31F5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Among the medical practitioner surveyed, 139(70.9%) scored high in grading of practice regarding history </w:t>
      </w:r>
      <w:proofErr w:type="gramStart"/>
      <w:r w:rsidRPr="00BE39C7">
        <w:rPr>
          <w:rFonts w:cstheme="minorHAnsi"/>
          <w:sz w:val="24"/>
          <w:szCs w:val="24"/>
        </w:rPr>
        <w:t xml:space="preserve">taking </w:t>
      </w:r>
      <w:r w:rsidR="00EC053E">
        <w:rPr>
          <w:rFonts w:cstheme="minorHAnsi"/>
          <w:sz w:val="24"/>
          <w:szCs w:val="24"/>
        </w:rPr>
        <w:t>,</w:t>
      </w:r>
      <w:proofErr w:type="gramEnd"/>
      <w:r w:rsidR="00EC053E">
        <w:rPr>
          <w:rFonts w:cstheme="minorHAnsi"/>
          <w:sz w:val="24"/>
          <w:szCs w:val="24"/>
        </w:rPr>
        <w:t xml:space="preserve"> </w:t>
      </w:r>
      <w:r w:rsidRPr="00BE39C7">
        <w:rPr>
          <w:rFonts w:cstheme="minorHAnsi"/>
          <w:sz w:val="24"/>
          <w:szCs w:val="24"/>
        </w:rPr>
        <w:t xml:space="preserve">43(21.9%) were graded average </w:t>
      </w:r>
      <w:r w:rsidR="00EC053E">
        <w:rPr>
          <w:rFonts w:cstheme="minorHAnsi"/>
          <w:sz w:val="24"/>
          <w:szCs w:val="24"/>
        </w:rPr>
        <w:t xml:space="preserve">and </w:t>
      </w:r>
      <w:r w:rsidRPr="00BE39C7">
        <w:rPr>
          <w:rFonts w:cstheme="minorHAnsi"/>
          <w:sz w:val="24"/>
          <w:szCs w:val="24"/>
        </w:rPr>
        <w:t xml:space="preserve">14(7.1%) </w:t>
      </w:r>
      <w:r w:rsidR="00EC053E">
        <w:rPr>
          <w:rFonts w:cstheme="minorHAnsi"/>
          <w:sz w:val="24"/>
          <w:szCs w:val="24"/>
        </w:rPr>
        <w:t>were graded low</w:t>
      </w:r>
      <w:r w:rsidRPr="00BE39C7">
        <w:rPr>
          <w:rFonts w:cstheme="minorHAnsi"/>
          <w:sz w:val="24"/>
          <w:szCs w:val="24"/>
        </w:rPr>
        <w:t>.</w:t>
      </w:r>
      <w:r w:rsidR="00B033CD" w:rsidRPr="00BE39C7">
        <w:rPr>
          <w:rFonts w:cstheme="minorHAnsi"/>
          <w:sz w:val="24"/>
          <w:szCs w:val="24"/>
        </w:rPr>
        <w:t xml:space="preserve"> (</w:t>
      </w:r>
      <w:proofErr w:type="gramStart"/>
      <w:r w:rsidR="00B033CD" w:rsidRPr="00BE39C7">
        <w:rPr>
          <w:rFonts w:cstheme="minorHAnsi"/>
          <w:sz w:val="24"/>
          <w:szCs w:val="24"/>
        </w:rPr>
        <w:t>table</w:t>
      </w:r>
      <w:proofErr w:type="gramEnd"/>
      <w:r w:rsidR="00B033CD" w:rsidRPr="00BE39C7">
        <w:rPr>
          <w:rFonts w:cstheme="minorHAnsi"/>
          <w:sz w:val="24"/>
          <w:szCs w:val="24"/>
        </w:rPr>
        <w:t xml:space="preserve"> 4)</w:t>
      </w:r>
    </w:p>
    <w:p w:rsidR="00B033CD" w:rsidRPr="00BE39C7" w:rsidRDefault="00B033CD" w:rsidP="00EB366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033CD" w:rsidRPr="00BE39C7" w:rsidTr="008305FB">
        <w:tc>
          <w:tcPr>
            <w:tcW w:w="9576" w:type="dxa"/>
            <w:gridSpan w:val="3"/>
          </w:tcPr>
          <w:p w:rsidR="00B033CD" w:rsidRPr="00BE39C7" w:rsidRDefault="00B033CD" w:rsidP="00EB366A">
            <w:pPr>
              <w:jc w:val="both"/>
              <w:rPr>
                <w:rFonts w:cstheme="minorHAnsi"/>
                <w:sz w:val="24"/>
                <w:szCs w:val="24"/>
              </w:rPr>
            </w:pPr>
            <w:r w:rsidRPr="00BE39C7">
              <w:rPr>
                <w:rFonts w:cstheme="minorHAnsi"/>
                <w:sz w:val="24"/>
                <w:szCs w:val="24"/>
              </w:rPr>
              <w:t>Table 4.Grading of practice regarding history taking</w:t>
            </w:r>
          </w:p>
        </w:tc>
      </w:tr>
      <w:tr w:rsidR="00B033CD" w:rsidRPr="00BE39C7" w:rsidTr="00B033CD"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B033CD" w:rsidRPr="00BE39C7" w:rsidRDefault="00EC053E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B033CD" w:rsidRPr="00BE39C7">
              <w:rPr>
                <w:rFonts w:cstheme="minorHAnsi"/>
                <w:color w:val="000000"/>
                <w:sz w:val="24"/>
                <w:szCs w:val="24"/>
              </w:rPr>
              <w:t>ercentage</w:t>
            </w:r>
          </w:p>
        </w:tc>
      </w:tr>
      <w:tr w:rsidR="00B033CD" w:rsidRPr="00BE39C7" w:rsidTr="00B033CD"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7.1</w:t>
            </w:r>
          </w:p>
        </w:tc>
      </w:tr>
      <w:tr w:rsidR="00B033CD" w:rsidRPr="00BE39C7" w:rsidTr="00B033CD"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21.9</w:t>
            </w:r>
          </w:p>
        </w:tc>
      </w:tr>
      <w:tr w:rsidR="00B033CD" w:rsidRPr="00BE39C7" w:rsidTr="00B033CD"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3192" w:type="dxa"/>
          </w:tcPr>
          <w:p w:rsidR="00B033CD" w:rsidRPr="00BE39C7" w:rsidRDefault="00B033CD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70.9</w:t>
            </w:r>
          </w:p>
        </w:tc>
      </w:tr>
    </w:tbl>
    <w:p w:rsidR="00EF0AB8" w:rsidRPr="00BE39C7" w:rsidRDefault="00EF0AB8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B033CD" w:rsidRPr="00BE39C7" w:rsidRDefault="00B033CD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B033CD" w:rsidRPr="00BE39C7" w:rsidRDefault="00B033CD" w:rsidP="00EB366A">
      <w:pPr>
        <w:pStyle w:val="NoSpacing"/>
        <w:jc w:val="both"/>
        <w:rPr>
          <w:rFonts w:cstheme="minorHAnsi"/>
          <w:b/>
          <w:sz w:val="24"/>
          <w:szCs w:val="24"/>
        </w:rPr>
      </w:pPr>
      <w:r w:rsidRPr="00BE39C7">
        <w:rPr>
          <w:rFonts w:cstheme="minorHAnsi"/>
          <w:b/>
          <w:sz w:val="24"/>
          <w:szCs w:val="24"/>
        </w:rPr>
        <w:t>Opinions about oral cancer</w:t>
      </w:r>
    </w:p>
    <w:p w:rsidR="00B033CD" w:rsidRPr="00BE39C7" w:rsidRDefault="00B033CD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 Medical practitioners were asked if </w:t>
      </w:r>
      <w:r w:rsidR="00796C61" w:rsidRPr="00BE39C7">
        <w:rPr>
          <w:rFonts w:cstheme="minorHAnsi"/>
          <w:sz w:val="24"/>
          <w:szCs w:val="24"/>
        </w:rPr>
        <w:t>their</w:t>
      </w:r>
      <w:r w:rsidRPr="00BE39C7">
        <w:rPr>
          <w:rFonts w:cstheme="minorHAnsi"/>
          <w:sz w:val="24"/>
          <w:szCs w:val="24"/>
        </w:rPr>
        <w:t xml:space="preserve"> knowledge ab</w:t>
      </w:r>
      <w:r w:rsidR="00470530" w:rsidRPr="00BE39C7">
        <w:rPr>
          <w:rFonts w:cstheme="minorHAnsi"/>
          <w:sz w:val="24"/>
          <w:szCs w:val="24"/>
        </w:rPr>
        <w:t>ou</w:t>
      </w:r>
      <w:r w:rsidRPr="00BE39C7">
        <w:rPr>
          <w:rFonts w:cstheme="minorHAnsi"/>
          <w:sz w:val="24"/>
          <w:szCs w:val="24"/>
        </w:rPr>
        <w:t>t oral cancer is current or not, 32</w:t>
      </w:r>
      <w:r w:rsidR="00337255" w:rsidRPr="00BE39C7">
        <w:rPr>
          <w:rFonts w:cstheme="minorHAnsi"/>
          <w:sz w:val="24"/>
          <w:szCs w:val="24"/>
        </w:rPr>
        <w:t xml:space="preserve"> </w:t>
      </w:r>
      <w:r w:rsidRPr="00BE39C7">
        <w:rPr>
          <w:rFonts w:cstheme="minorHAnsi"/>
          <w:sz w:val="24"/>
          <w:szCs w:val="24"/>
        </w:rPr>
        <w:t>(16.3%) strongly agreed, 126(64.3%) agreed</w:t>
      </w:r>
      <w:proofErr w:type="gramStart"/>
      <w:r w:rsidRPr="00BE39C7">
        <w:rPr>
          <w:rFonts w:cstheme="minorHAnsi"/>
          <w:sz w:val="24"/>
          <w:szCs w:val="24"/>
        </w:rPr>
        <w:t>,  22</w:t>
      </w:r>
      <w:proofErr w:type="gramEnd"/>
      <w:r w:rsidRPr="00BE39C7">
        <w:rPr>
          <w:rFonts w:cstheme="minorHAnsi"/>
          <w:sz w:val="24"/>
          <w:szCs w:val="24"/>
        </w:rPr>
        <w:t>(11.2%) disagreed, 4(2%) strongly disagreed, 12 (6.1%) didn’t know.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B033CD" w:rsidRPr="00BE39C7" w:rsidRDefault="00B033CD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 </w:t>
      </w:r>
      <w:r w:rsidR="00691981">
        <w:rPr>
          <w:rFonts w:cstheme="minorHAnsi"/>
          <w:sz w:val="24"/>
          <w:szCs w:val="24"/>
        </w:rPr>
        <w:t>Among</w:t>
      </w:r>
      <w:r w:rsidR="00691981" w:rsidRPr="00BE39C7">
        <w:rPr>
          <w:rFonts w:cstheme="minorHAnsi"/>
          <w:sz w:val="24"/>
          <w:szCs w:val="24"/>
        </w:rPr>
        <w:t xml:space="preserve"> the Medical practitioners</w:t>
      </w:r>
      <w:r w:rsidR="00691981">
        <w:rPr>
          <w:rFonts w:cstheme="minorHAnsi"/>
          <w:sz w:val="24"/>
          <w:szCs w:val="24"/>
        </w:rPr>
        <w:t>,</w:t>
      </w:r>
      <w:r w:rsidR="00691981" w:rsidRPr="00BE39C7">
        <w:rPr>
          <w:rFonts w:cstheme="minorHAnsi"/>
          <w:sz w:val="24"/>
          <w:szCs w:val="24"/>
        </w:rPr>
        <w:t xml:space="preserve"> </w:t>
      </w:r>
      <w:r w:rsidRPr="00BE39C7">
        <w:rPr>
          <w:rFonts w:cstheme="minorHAnsi"/>
          <w:sz w:val="24"/>
          <w:szCs w:val="24"/>
        </w:rPr>
        <w:t xml:space="preserve">126(64.3%) agreed that oral cancer examination for 40 yr and above should be provide </w:t>
      </w:r>
      <w:proofErr w:type="gramStart"/>
      <w:r w:rsidR="00337255" w:rsidRPr="00BE39C7">
        <w:rPr>
          <w:rFonts w:cstheme="minorHAnsi"/>
          <w:sz w:val="24"/>
          <w:szCs w:val="24"/>
        </w:rPr>
        <w:t>annu</w:t>
      </w:r>
      <w:r w:rsidRPr="00BE39C7">
        <w:rPr>
          <w:rFonts w:cstheme="minorHAnsi"/>
          <w:sz w:val="24"/>
          <w:szCs w:val="24"/>
        </w:rPr>
        <w:t>ally ,</w:t>
      </w:r>
      <w:proofErr w:type="gramEnd"/>
      <w:r w:rsidRPr="00BE39C7">
        <w:rPr>
          <w:rFonts w:cstheme="minorHAnsi"/>
          <w:sz w:val="24"/>
          <w:szCs w:val="24"/>
        </w:rPr>
        <w:t xml:space="preserve"> 63 (32.1%) strongly agreed to this point while 3(1.5%) disagreed.</w:t>
      </w:r>
    </w:p>
    <w:p w:rsidR="00337255" w:rsidRPr="00BE39C7" w:rsidRDefault="00337255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337255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hundred thirty five </w:t>
      </w:r>
      <w:r w:rsidR="00337255" w:rsidRPr="00BE39C7">
        <w:rPr>
          <w:rFonts w:cstheme="minorHAnsi"/>
          <w:sz w:val="24"/>
          <w:szCs w:val="24"/>
        </w:rPr>
        <w:t xml:space="preserve">(68.9%) of the Medical practitioners agreed that oral cancer examination for 18-39 yr should be provide </w:t>
      </w:r>
      <w:proofErr w:type="gramStart"/>
      <w:r w:rsidR="00337255" w:rsidRPr="00BE39C7">
        <w:rPr>
          <w:rFonts w:cstheme="minorHAnsi"/>
          <w:sz w:val="24"/>
          <w:szCs w:val="24"/>
        </w:rPr>
        <w:t>annually ,</w:t>
      </w:r>
      <w:proofErr w:type="gramEnd"/>
      <w:r w:rsidR="00337255" w:rsidRPr="00BE39C7">
        <w:rPr>
          <w:rFonts w:cstheme="minorHAnsi"/>
          <w:sz w:val="24"/>
          <w:szCs w:val="24"/>
        </w:rPr>
        <w:t xml:space="preserve"> 32 (16.3%) strongly agreed to this point while 17(8.7%) disagreed, 3 (1.5%) strongly disagreed.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survey, </w:t>
      </w:r>
      <w:r w:rsidR="00337255" w:rsidRPr="00BE39C7">
        <w:rPr>
          <w:rFonts w:cstheme="minorHAnsi"/>
          <w:sz w:val="24"/>
          <w:szCs w:val="24"/>
        </w:rPr>
        <w:t>106(54.1%) of the respondents were comfortable referring patients with suspicious oral lesion to a specialist, 78(39.8%) strongly agreed to this point where as 11(5.6%) disagreed.</w:t>
      </w:r>
    </w:p>
    <w:p w:rsidR="0094504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Sixteen </w:t>
      </w:r>
      <w:r w:rsidR="00337255" w:rsidRPr="00BE39C7">
        <w:rPr>
          <w:rFonts w:cstheme="minorHAnsi"/>
          <w:sz w:val="24"/>
          <w:szCs w:val="24"/>
        </w:rPr>
        <w:t xml:space="preserve">(8.2%) strongly agreed that oral cancer examination can be </w:t>
      </w:r>
      <w:proofErr w:type="gramStart"/>
      <w:r w:rsidR="00337255" w:rsidRPr="00BE39C7">
        <w:rPr>
          <w:rFonts w:cstheme="minorHAnsi"/>
          <w:sz w:val="24"/>
          <w:szCs w:val="24"/>
        </w:rPr>
        <w:t>discontinued  after</w:t>
      </w:r>
      <w:proofErr w:type="gramEnd"/>
      <w:r w:rsidR="00337255" w:rsidRPr="00BE39C7">
        <w:rPr>
          <w:rFonts w:cstheme="minorHAnsi"/>
          <w:sz w:val="24"/>
          <w:szCs w:val="24"/>
        </w:rPr>
        <w:t xml:space="preserve"> three negative exams , 72(36.7%) agreed to this point, 44(22.4%) disagreed, 16 (8.2%) strongly disagreed while 48 (24.5%) didn’t k</w:t>
      </w:r>
      <w:r w:rsidR="00E2617A" w:rsidRPr="00BE39C7">
        <w:rPr>
          <w:rFonts w:cstheme="minorHAnsi"/>
          <w:sz w:val="24"/>
          <w:szCs w:val="24"/>
        </w:rPr>
        <w:t>n</w:t>
      </w:r>
      <w:r w:rsidR="00337255" w:rsidRPr="00BE39C7">
        <w:rPr>
          <w:rFonts w:cstheme="minorHAnsi"/>
          <w:sz w:val="24"/>
          <w:szCs w:val="24"/>
        </w:rPr>
        <w:t>ow.</w:t>
      </w:r>
      <w:r w:rsidR="00E2617A" w:rsidRPr="00BE39C7">
        <w:rPr>
          <w:rFonts w:cstheme="minorHAnsi"/>
          <w:sz w:val="24"/>
          <w:szCs w:val="24"/>
        </w:rPr>
        <w:t xml:space="preserve"> 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Ninety six </w:t>
      </w:r>
      <w:r w:rsidR="00E2617A" w:rsidRPr="00BE39C7">
        <w:rPr>
          <w:rFonts w:cstheme="minorHAnsi"/>
          <w:sz w:val="24"/>
          <w:szCs w:val="24"/>
        </w:rPr>
        <w:t>(49.0%) participants disagreed that their patients are sufficiently knowledgeable about oral cancer risk</w:t>
      </w:r>
      <w:r w:rsidR="00470530" w:rsidRPr="00BE39C7">
        <w:rPr>
          <w:rFonts w:cstheme="minorHAnsi"/>
          <w:sz w:val="24"/>
          <w:szCs w:val="24"/>
        </w:rPr>
        <w:t xml:space="preserve"> </w:t>
      </w:r>
      <w:r w:rsidR="00E2617A" w:rsidRPr="00BE39C7">
        <w:rPr>
          <w:rFonts w:cstheme="minorHAnsi"/>
          <w:sz w:val="24"/>
          <w:szCs w:val="24"/>
        </w:rPr>
        <w:t>factors while 36(18.4%) agreed, 37(18.97%) strongly disagreed, 7(3.6</w:t>
      </w:r>
      <w:proofErr w:type="gramStart"/>
      <w:r w:rsidR="00E2617A" w:rsidRPr="00BE39C7">
        <w:rPr>
          <w:rFonts w:cstheme="minorHAnsi"/>
          <w:sz w:val="24"/>
          <w:szCs w:val="24"/>
        </w:rPr>
        <w:t>% )</w:t>
      </w:r>
      <w:proofErr w:type="gramEnd"/>
      <w:r w:rsidR="00E2617A" w:rsidRPr="00BE39C7">
        <w:rPr>
          <w:rFonts w:cstheme="minorHAnsi"/>
          <w:sz w:val="24"/>
          <w:szCs w:val="24"/>
        </w:rPr>
        <w:t xml:space="preserve"> strongly agreed</w:t>
      </w:r>
      <w:r>
        <w:rPr>
          <w:rFonts w:cstheme="minorHAnsi"/>
          <w:sz w:val="24"/>
          <w:szCs w:val="24"/>
        </w:rPr>
        <w:t xml:space="preserve"> </w:t>
      </w:r>
      <w:r w:rsidR="00E2617A" w:rsidRPr="00BE39C7">
        <w:rPr>
          <w:rFonts w:cstheme="minorHAnsi"/>
          <w:sz w:val="24"/>
          <w:szCs w:val="24"/>
        </w:rPr>
        <w:t xml:space="preserve">and 20 (10.2%) responded as don’t know for the question. 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participants, </w:t>
      </w:r>
      <w:r w:rsidR="00E2617A" w:rsidRPr="00BE39C7">
        <w:rPr>
          <w:rFonts w:cstheme="minorHAnsi"/>
          <w:sz w:val="24"/>
          <w:szCs w:val="24"/>
        </w:rPr>
        <w:t>96(49.0%) disagreed that their patients are sufficiently knowledgeable about oral cancer sign and symptom while 42(21.4%) agreed, 36(18.4%) strongly disagreed, 2(1%) strongly agreed</w:t>
      </w:r>
      <w:r w:rsidR="00470530" w:rsidRPr="00BE39C7">
        <w:rPr>
          <w:rFonts w:cstheme="minorHAnsi"/>
          <w:sz w:val="24"/>
          <w:szCs w:val="24"/>
        </w:rPr>
        <w:t xml:space="preserve"> </w:t>
      </w:r>
      <w:r w:rsidR="00E2617A" w:rsidRPr="00BE39C7">
        <w:rPr>
          <w:rFonts w:cstheme="minorHAnsi"/>
          <w:sz w:val="24"/>
          <w:szCs w:val="24"/>
        </w:rPr>
        <w:t xml:space="preserve">in the given statement, 20(10.2%) didn’t know the answer. 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945047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hundred twenty six </w:t>
      </w:r>
      <w:r w:rsidR="00E2617A" w:rsidRPr="00BE39C7">
        <w:rPr>
          <w:rFonts w:cstheme="minorHAnsi"/>
          <w:sz w:val="24"/>
          <w:szCs w:val="24"/>
        </w:rPr>
        <w:t>(64.3</w:t>
      </w:r>
      <w:r w:rsidR="004A2094" w:rsidRPr="00BE39C7">
        <w:rPr>
          <w:rFonts w:cstheme="minorHAnsi"/>
          <w:sz w:val="24"/>
          <w:szCs w:val="24"/>
        </w:rPr>
        <w:t>%) agreed that oral cancer examination should be a separate reimbursable procedure.</w:t>
      </w:r>
      <w:r w:rsidR="00470530" w:rsidRPr="00BE39C7">
        <w:rPr>
          <w:rFonts w:cstheme="minorHAnsi"/>
          <w:sz w:val="24"/>
          <w:szCs w:val="24"/>
        </w:rPr>
        <w:t xml:space="preserve"> </w:t>
      </w:r>
      <w:r w:rsidR="004A2094" w:rsidRPr="00BE39C7">
        <w:rPr>
          <w:rFonts w:cstheme="minorHAnsi"/>
          <w:sz w:val="24"/>
          <w:szCs w:val="24"/>
        </w:rPr>
        <w:t>25(12.8%) disagreed while 30(15.3%) strongly disagreed</w:t>
      </w:r>
      <w:r w:rsidR="0080653C" w:rsidRPr="00BE39C7">
        <w:rPr>
          <w:rFonts w:cstheme="minorHAnsi"/>
          <w:sz w:val="24"/>
          <w:szCs w:val="24"/>
        </w:rPr>
        <w:t xml:space="preserve"> and 15(7.5%) didn’t know.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337255" w:rsidRPr="00BE39C7" w:rsidRDefault="0080653C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 </w:t>
      </w:r>
      <w:r w:rsidR="00E8273D">
        <w:rPr>
          <w:rFonts w:cstheme="minorHAnsi"/>
          <w:sz w:val="24"/>
          <w:szCs w:val="24"/>
        </w:rPr>
        <w:t xml:space="preserve">One hundred forty six </w:t>
      </w:r>
      <w:r w:rsidRPr="00BE39C7">
        <w:rPr>
          <w:rFonts w:cstheme="minorHAnsi"/>
          <w:sz w:val="24"/>
          <w:szCs w:val="24"/>
        </w:rPr>
        <w:t>(71.4%) agreed that they are comfortable palpating lymph node in neck of patients, 45(23.0%) strongly agreed, 9 (4.6%) disagreed, 1(0.5%) strongly disagreed, 1(0.5%) didn’t know.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337255" w:rsidRPr="00BE39C7" w:rsidRDefault="00562E5A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participants, </w:t>
      </w:r>
      <w:r w:rsidR="0080653C" w:rsidRPr="00BE39C7">
        <w:rPr>
          <w:rFonts w:cstheme="minorHAnsi"/>
          <w:sz w:val="24"/>
          <w:szCs w:val="24"/>
        </w:rPr>
        <w:t>105(53.6%) agreed that use of smokeless tobacco place a person at greatest risk for oral cancer than those who smoke cigarette,40(20.4%) strongly agreed, 33(16.8%) disagreed, 5(2.6%) strongly disagreed and 13(6.6%) don’t  know 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80653C" w:rsidRPr="00BE39C7" w:rsidRDefault="0080653C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lastRenderedPageBreak/>
        <w:t xml:space="preserve"> </w:t>
      </w:r>
      <w:r w:rsidR="00562E5A">
        <w:rPr>
          <w:rFonts w:cstheme="minorHAnsi"/>
          <w:sz w:val="24"/>
          <w:szCs w:val="24"/>
        </w:rPr>
        <w:t xml:space="preserve">One hundred thirty </w:t>
      </w:r>
      <w:proofErr w:type="gramStart"/>
      <w:r w:rsidR="00562E5A">
        <w:rPr>
          <w:rFonts w:cstheme="minorHAnsi"/>
          <w:sz w:val="24"/>
          <w:szCs w:val="24"/>
        </w:rPr>
        <w:t>two</w:t>
      </w:r>
      <w:r w:rsidRPr="00BE39C7">
        <w:rPr>
          <w:rFonts w:cstheme="minorHAnsi"/>
          <w:sz w:val="24"/>
          <w:szCs w:val="24"/>
        </w:rPr>
        <w:t>(</w:t>
      </w:r>
      <w:proofErr w:type="gramEnd"/>
      <w:r w:rsidRPr="00BE39C7">
        <w:rPr>
          <w:rFonts w:cstheme="minorHAnsi"/>
          <w:sz w:val="24"/>
          <w:szCs w:val="24"/>
        </w:rPr>
        <w:t>67.3) agreed that Dentist are qualified to perform oral cancer examination, 49 (25.5%) strongly agreed, 10(5.1%) disagreed, 2(1%) strongly disagreed and 3 (1.5%) didn’t know the answer.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80653C" w:rsidRPr="00BE39C7" w:rsidRDefault="00562E5A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medical practitioners, </w:t>
      </w:r>
      <w:r w:rsidR="0018496A" w:rsidRPr="00BE39C7">
        <w:rPr>
          <w:rFonts w:cstheme="minorHAnsi"/>
          <w:sz w:val="24"/>
          <w:szCs w:val="24"/>
        </w:rPr>
        <w:t xml:space="preserve">73(37.2%) disagreed that </w:t>
      </w:r>
      <w:r w:rsidR="0080653C" w:rsidRPr="00BE39C7">
        <w:rPr>
          <w:rFonts w:cstheme="minorHAnsi"/>
          <w:sz w:val="24"/>
          <w:szCs w:val="24"/>
        </w:rPr>
        <w:t>Dental hygienist are qualified to perform oral cancer examination</w:t>
      </w:r>
      <w:r w:rsidR="0018496A" w:rsidRPr="00BE39C7">
        <w:rPr>
          <w:rFonts w:cstheme="minorHAnsi"/>
          <w:sz w:val="24"/>
          <w:szCs w:val="24"/>
        </w:rPr>
        <w:t xml:space="preserve">, 50(25.5%) </w:t>
      </w:r>
      <w:proofErr w:type="gramStart"/>
      <w:r w:rsidR="0018496A" w:rsidRPr="00BE39C7">
        <w:rPr>
          <w:rFonts w:cstheme="minorHAnsi"/>
          <w:sz w:val="24"/>
          <w:szCs w:val="24"/>
        </w:rPr>
        <w:t>agreed ,</w:t>
      </w:r>
      <w:proofErr w:type="gramEnd"/>
      <w:r w:rsidR="0018496A" w:rsidRPr="00BE39C7">
        <w:rPr>
          <w:rFonts w:cstheme="minorHAnsi"/>
          <w:sz w:val="24"/>
          <w:szCs w:val="24"/>
        </w:rPr>
        <w:t xml:space="preserve"> 43 (21.9%) strongly disagreed, 18(9.2%) strongly agreed and 12(6.1%) didn’t know.</w:t>
      </w:r>
    </w:p>
    <w:p w:rsidR="0018496A" w:rsidRPr="00BE39C7" w:rsidRDefault="0018496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18496A" w:rsidRPr="00BE39C7" w:rsidRDefault="00562E5A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survey, </w:t>
      </w:r>
      <w:r w:rsidR="00796C61">
        <w:rPr>
          <w:rFonts w:cstheme="minorHAnsi"/>
          <w:sz w:val="24"/>
          <w:szCs w:val="24"/>
        </w:rPr>
        <w:t>127(64.8%) agreed, 31((1</w:t>
      </w:r>
      <w:r w:rsidR="0018496A" w:rsidRPr="00BE39C7">
        <w:rPr>
          <w:rFonts w:cstheme="minorHAnsi"/>
          <w:sz w:val="24"/>
          <w:szCs w:val="24"/>
        </w:rPr>
        <w:t>5.8%) strongly agreed, 27(13.8%) disagreed, 8(4.1%) strongly disagreed that Physician are qualified to perform oral cancer examination, 3 (1.5%) didn’t know the answer.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DC79F0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Eighty </w:t>
      </w:r>
      <w:proofErr w:type="gramStart"/>
      <w:r>
        <w:rPr>
          <w:rFonts w:cstheme="minorHAnsi"/>
          <w:sz w:val="24"/>
          <w:szCs w:val="24"/>
        </w:rPr>
        <w:t>six</w:t>
      </w:r>
      <w:r w:rsidR="0018496A" w:rsidRPr="00BE39C7">
        <w:rPr>
          <w:rFonts w:cstheme="minorHAnsi"/>
          <w:sz w:val="24"/>
          <w:szCs w:val="24"/>
        </w:rPr>
        <w:t>(</w:t>
      </w:r>
      <w:proofErr w:type="gramEnd"/>
      <w:r w:rsidR="0018496A" w:rsidRPr="00BE39C7">
        <w:rPr>
          <w:rFonts w:cstheme="minorHAnsi"/>
          <w:sz w:val="24"/>
          <w:szCs w:val="24"/>
        </w:rPr>
        <w:t>43.9%)</w:t>
      </w:r>
      <w:r w:rsidR="00796C61">
        <w:rPr>
          <w:rFonts w:cstheme="minorHAnsi"/>
          <w:sz w:val="24"/>
          <w:szCs w:val="24"/>
        </w:rPr>
        <w:t xml:space="preserve"> </w:t>
      </w:r>
      <w:r w:rsidR="0018496A" w:rsidRPr="00BE39C7">
        <w:rPr>
          <w:rFonts w:cstheme="minorHAnsi"/>
          <w:sz w:val="24"/>
          <w:szCs w:val="24"/>
        </w:rPr>
        <w:t>disagreed,  49</w:t>
      </w:r>
      <w:r w:rsidR="00796C61">
        <w:rPr>
          <w:rFonts w:cstheme="minorHAnsi"/>
          <w:sz w:val="24"/>
          <w:szCs w:val="24"/>
        </w:rPr>
        <w:t xml:space="preserve"> </w:t>
      </w:r>
      <w:r w:rsidR="0018496A" w:rsidRPr="00BE39C7">
        <w:rPr>
          <w:rFonts w:cstheme="minorHAnsi"/>
          <w:sz w:val="24"/>
          <w:szCs w:val="24"/>
        </w:rPr>
        <w:t xml:space="preserve">(25.0%) agreed, 38 (19.4%) strongly disagreed,7(3.6%) strongly agreed that Nurse practitioner are qualified to perform oral cancer examination. 16(8.2%) didn’t </w:t>
      </w:r>
      <w:r w:rsidR="00470530" w:rsidRPr="00BE39C7">
        <w:rPr>
          <w:rFonts w:cstheme="minorHAnsi"/>
          <w:sz w:val="24"/>
          <w:szCs w:val="24"/>
        </w:rPr>
        <w:t>kn</w:t>
      </w:r>
      <w:r w:rsidR="0018496A" w:rsidRPr="00BE39C7">
        <w:rPr>
          <w:rFonts w:cstheme="minorHAnsi"/>
          <w:sz w:val="24"/>
          <w:szCs w:val="24"/>
        </w:rPr>
        <w:t>ow the answer</w:t>
      </w:r>
    </w:p>
    <w:p w:rsidR="0018496A" w:rsidRPr="00BE39C7" w:rsidRDefault="0018496A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18496A" w:rsidRPr="00BE39C7" w:rsidRDefault="00562E5A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One hundred thirty </w:t>
      </w:r>
      <w:proofErr w:type="gramStart"/>
      <w:r>
        <w:rPr>
          <w:rFonts w:cstheme="minorHAnsi"/>
          <w:color w:val="000000"/>
          <w:sz w:val="24"/>
          <w:szCs w:val="24"/>
        </w:rPr>
        <w:t>one</w:t>
      </w:r>
      <w:r w:rsidR="0018496A" w:rsidRPr="00BE39C7">
        <w:rPr>
          <w:rFonts w:cstheme="minorHAnsi"/>
          <w:color w:val="000000"/>
          <w:sz w:val="24"/>
          <w:szCs w:val="24"/>
        </w:rPr>
        <w:t>(</w:t>
      </w:r>
      <w:proofErr w:type="gramEnd"/>
      <w:r w:rsidR="0018496A" w:rsidRPr="00BE39C7">
        <w:rPr>
          <w:rFonts w:cstheme="minorHAnsi"/>
          <w:color w:val="000000"/>
          <w:sz w:val="24"/>
          <w:szCs w:val="24"/>
        </w:rPr>
        <w:t>66.8%)</w:t>
      </w:r>
      <w:r w:rsidR="0018496A" w:rsidRPr="00BE39C7">
        <w:rPr>
          <w:rFonts w:cstheme="minorHAnsi"/>
          <w:sz w:val="24"/>
          <w:szCs w:val="24"/>
        </w:rPr>
        <w:t>,</w:t>
      </w:r>
      <w:r w:rsidR="00796C61">
        <w:rPr>
          <w:rFonts w:cstheme="minorHAnsi"/>
          <w:sz w:val="24"/>
          <w:szCs w:val="24"/>
        </w:rPr>
        <w:t xml:space="preserve"> </w:t>
      </w:r>
      <w:r w:rsidR="0018496A" w:rsidRPr="00BE39C7">
        <w:rPr>
          <w:rFonts w:cstheme="minorHAnsi"/>
          <w:sz w:val="24"/>
          <w:szCs w:val="24"/>
        </w:rPr>
        <w:t>agreed, 26((13.3%) strongly agreed, 10</w:t>
      </w:r>
      <w:r w:rsidR="00470530" w:rsidRPr="00BE39C7">
        <w:rPr>
          <w:rFonts w:cstheme="minorHAnsi"/>
          <w:sz w:val="24"/>
          <w:szCs w:val="24"/>
        </w:rPr>
        <w:t>(5.1</w:t>
      </w:r>
      <w:r w:rsidR="0018496A" w:rsidRPr="00BE39C7">
        <w:rPr>
          <w:rFonts w:cstheme="minorHAnsi"/>
          <w:sz w:val="24"/>
          <w:szCs w:val="24"/>
        </w:rPr>
        <w:t>%) disagreed,</w:t>
      </w:r>
      <w:r w:rsidR="00470530" w:rsidRPr="00BE39C7">
        <w:rPr>
          <w:rFonts w:cstheme="minorHAnsi"/>
          <w:sz w:val="24"/>
          <w:szCs w:val="24"/>
        </w:rPr>
        <w:t xml:space="preserve"> 1(0</w:t>
      </w:r>
      <w:r w:rsidR="0018496A" w:rsidRPr="00BE39C7">
        <w:rPr>
          <w:rFonts w:cstheme="minorHAnsi"/>
          <w:sz w:val="24"/>
          <w:szCs w:val="24"/>
        </w:rPr>
        <w:t>.</w:t>
      </w:r>
      <w:r w:rsidR="00470530" w:rsidRPr="00BE39C7">
        <w:rPr>
          <w:rFonts w:cstheme="minorHAnsi"/>
          <w:sz w:val="24"/>
          <w:szCs w:val="24"/>
        </w:rPr>
        <w:t>5</w:t>
      </w:r>
      <w:r w:rsidR="0018496A" w:rsidRPr="00BE39C7">
        <w:rPr>
          <w:rFonts w:cstheme="minorHAnsi"/>
          <w:sz w:val="24"/>
          <w:szCs w:val="24"/>
        </w:rPr>
        <w:t>%) strongly disagree</w:t>
      </w:r>
      <w:r w:rsidR="0018496A" w:rsidRPr="00BE39C7">
        <w:rPr>
          <w:rFonts w:cstheme="minorHAnsi"/>
          <w:color w:val="000000"/>
          <w:sz w:val="24"/>
          <w:szCs w:val="24"/>
        </w:rPr>
        <w:t xml:space="preserve"> agreed</w:t>
      </w:r>
      <w:r w:rsidR="0018496A" w:rsidRPr="00BE39C7">
        <w:rPr>
          <w:rFonts w:cstheme="minorHAnsi"/>
          <w:sz w:val="24"/>
          <w:szCs w:val="24"/>
        </w:rPr>
        <w:t xml:space="preserve"> </w:t>
      </w:r>
      <w:r w:rsidR="00470530" w:rsidRPr="00BE39C7">
        <w:rPr>
          <w:rFonts w:cstheme="minorHAnsi"/>
          <w:sz w:val="24"/>
          <w:szCs w:val="24"/>
        </w:rPr>
        <w:t>that e</w:t>
      </w:r>
      <w:r w:rsidR="0018496A" w:rsidRPr="00BE39C7">
        <w:rPr>
          <w:rFonts w:cstheme="minorHAnsi"/>
          <w:sz w:val="24"/>
          <w:szCs w:val="24"/>
        </w:rPr>
        <w:t>arly detection improves 5 yr survival rates from oral cancer</w:t>
      </w:r>
      <w:r w:rsidR="00470530" w:rsidRPr="00BE39C7">
        <w:rPr>
          <w:rFonts w:cstheme="minorHAnsi"/>
          <w:sz w:val="24"/>
          <w:szCs w:val="24"/>
        </w:rPr>
        <w:t>, 28(14.3%) didn’t know the answer.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 xml:space="preserve"> </w:t>
      </w:r>
    </w:p>
    <w:p w:rsidR="00470530" w:rsidRPr="00BE39C7" w:rsidRDefault="00DC79F0" w:rsidP="00EB366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participants </w:t>
      </w:r>
      <w:r w:rsidR="00470530" w:rsidRPr="00BE39C7">
        <w:rPr>
          <w:rFonts w:cstheme="minorHAnsi"/>
          <w:sz w:val="24"/>
          <w:szCs w:val="24"/>
        </w:rPr>
        <w:t>113(57.7%) agreed, 18((9.2%) strongly agreed, 32(16.3%) disagreed, 6(3.1%) strongly disagreed that lesion associated with smokeless tobacco generally resolve when use is discontinued, 27(13.8%) didn’t know the answer.</w:t>
      </w: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470530" w:rsidP="00EB366A">
      <w:pPr>
        <w:pStyle w:val="NoSpacing"/>
        <w:jc w:val="both"/>
        <w:rPr>
          <w:rFonts w:cstheme="minorHAnsi"/>
          <w:sz w:val="24"/>
          <w:szCs w:val="24"/>
        </w:rPr>
      </w:pPr>
    </w:p>
    <w:p w:rsidR="00470530" w:rsidRPr="00BE39C7" w:rsidRDefault="00E2617A" w:rsidP="00EB366A">
      <w:pPr>
        <w:pStyle w:val="NoSpacing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674110"/>
            <wp:effectExtent l="19050" t="0" r="19050" b="2159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0530" w:rsidRPr="00BE39C7" w:rsidRDefault="00470530" w:rsidP="00EB366A">
      <w:pPr>
        <w:jc w:val="both"/>
        <w:rPr>
          <w:rFonts w:cstheme="minorHAnsi"/>
          <w:sz w:val="24"/>
          <w:szCs w:val="24"/>
        </w:rPr>
      </w:pPr>
    </w:p>
    <w:p w:rsidR="00470530" w:rsidRPr="00BE39C7" w:rsidRDefault="0047053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ab/>
      </w:r>
    </w:p>
    <w:p w:rsidR="00B033CD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hundred thirteen </w:t>
      </w:r>
      <w:r w:rsidR="00470530" w:rsidRPr="00BE39C7">
        <w:rPr>
          <w:rFonts w:cstheme="minorHAnsi"/>
          <w:sz w:val="24"/>
          <w:szCs w:val="24"/>
        </w:rPr>
        <w:t>(57.7%) agreed that they are adequately trained to provide tobacco cessation education, 41(20.9%)</w:t>
      </w:r>
      <w:r w:rsidR="003436B4" w:rsidRPr="00BE39C7">
        <w:rPr>
          <w:rFonts w:cstheme="minorHAnsi"/>
          <w:sz w:val="24"/>
          <w:szCs w:val="24"/>
        </w:rPr>
        <w:t xml:space="preserve"> strongly agreed, 36(18.4</w:t>
      </w:r>
      <w:r w:rsidR="00470530" w:rsidRPr="00BE39C7">
        <w:rPr>
          <w:rFonts w:cstheme="minorHAnsi"/>
          <w:sz w:val="24"/>
          <w:szCs w:val="24"/>
        </w:rPr>
        <w:t xml:space="preserve">%) disagreed, </w:t>
      </w:r>
      <w:r w:rsidR="003436B4" w:rsidRPr="00BE39C7">
        <w:rPr>
          <w:rFonts w:cstheme="minorHAnsi"/>
          <w:sz w:val="24"/>
          <w:szCs w:val="24"/>
        </w:rPr>
        <w:t>2(1.0%) strongly disagreed and 4(2%) of participant didn’t know the answer.</w:t>
      </w:r>
    </w:p>
    <w:p w:rsidR="003436B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hundred thirty nine </w:t>
      </w:r>
      <w:r w:rsidR="003436B4" w:rsidRPr="00BE39C7">
        <w:rPr>
          <w:rFonts w:cstheme="minorHAnsi"/>
          <w:sz w:val="24"/>
          <w:szCs w:val="24"/>
        </w:rPr>
        <w:t>(70.9%) agreed that they are adequately trained to provide alcohol cessation education, 28(14.3%) strongly agreed, 24(12.2%) disagreed, 2(1.0%) strongly disagreed and 3(1.5%) of participant didn’t know the answer.</w:t>
      </w:r>
    </w:p>
    <w:p w:rsidR="003436B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practitioners, </w:t>
      </w:r>
      <w:r w:rsidR="003436B4" w:rsidRPr="00BE39C7">
        <w:rPr>
          <w:rFonts w:cstheme="minorHAnsi"/>
          <w:sz w:val="24"/>
          <w:szCs w:val="24"/>
        </w:rPr>
        <w:t>131(66.8%) agreed that Dentist should be trained to provide tobacco cessation education, 58(29.6%) strongly agreed, 5 (2.6%) disagreed and 2(1%) didn’t know.</w:t>
      </w:r>
    </w:p>
    <w:p w:rsidR="003436B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survey, </w:t>
      </w:r>
      <w:r w:rsidR="003436B4" w:rsidRPr="00BE39C7">
        <w:rPr>
          <w:rFonts w:cstheme="minorHAnsi"/>
          <w:sz w:val="24"/>
          <w:szCs w:val="24"/>
        </w:rPr>
        <w:t>131</w:t>
      </w:r>
      <w:proofErr w:type="gramStart"/>
      <w:r w:rsidR="003436B4" w:rsidRPr="00BE39C7">
        <w:rPr>
          <w:rFonts w:cstheme="minorHAnsi"/>
          <w:sz w:val="24"/>
          <w:szCs w:val="24"/>
        </w:rPr>
        <w:t>( 66.8</w:t>
      </w:r>
      <w:proofErr w:type="gramEnd"/>
      <w:r w:rsidR="003436B4" w:rsidRPr="00BE39C7">
        <w:rPr>
          <w:rFonts w:cstheme="minorHAnsi"/>
          <w:sz w:val="24"/>
          <w:szCs w:val="24"/>
        </w:rPr>
        <w:t>%) agreed that Dentist should be trained to provide alcohol cessation education, 54(27.6%) strongly agreed, 8(4.1%) disagreed , 2(1.0%) strongly disagreed and 1(0.5%) didn’t know the answer.</w:t>
      </w:r>
    </w:p>
    <w:p w:rsidR="003436B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hundred ten </w:t>
      </w:r>
      <w:r w:rsidR="003436B4" w:rsidRPr="00BE39C7">
        <w:rPr>
          <w:rFonts w:cstheme="minorHAnsi"/>
          <w:sz w:val="24"/>
          <w:szCs w:val="24"/>
        </w:rPr>
        <w:t>(56.1%) agreed that they are adequately trained to examine patients for oral cancer, 21(10.7</w:t>
      </w:r>
      <w:r w:rsidR="00654904" w:rsidRPr="00BE39C7">
        <w:rPr>
          <w:rFonts w:cstheme="minorHAnsi"/>
          <w:sz w:val="24"/>
          <w:szCs w:val="24"/>
        </w:rPr>
        <w:t>%) strongly agreed, 58(29.6</w:t>
      </w:r>
      <w:r w:rsidR="00796C61">
        <w:rPr>
          <w:rFonts w:cstheme="minorHAnsi"/>
          <w:sz w:val="24"/>
          <w:szCs w:val="24"/>
        </w:rPr>
        <w:t xml:space="preserve">%) </w:t>
      </w:r>
      <w:proofErr w:type="gramStart"/>
      <w:r w:rsidR="00796C61">
        <w:rPr>
          <w:rFonts w:cstheme="minorHAnsi"/>
          <w:sz w:val="24"/>
          <w:szCs w:val="24"/>
        </w:rPr>
        <w:t>disagree</w:t>
      </w:r>
      <w:r w:rsidR="003436B4" w:rsidRPr="00BE39C7">
        <w:rPr>
          <w:rFonts w:cstheme="minorHAnsi"/>
          <w:sz w:val="24"/>
          <w:szCs w:val="24"/>
        </w:rPr>
        <w:t xml:space="preserve"> ,</w:t>
      </w:r>
      <w:proofErr w:type="gramEnd"/>
      <w:r w:rsidR="003436B4" w:rsidRPr="00BE39C7">
        <w:rPr>
          <w:rFonts w:cstheme="minorHAnsi"/>
          <w:sz w:val="24"/>
          <w:szCs w:val="24"/>
        </w:rPr>
        <w:t xml:space="preserve"> 2(1.0%) strongly disagreed </w:t>
      </w:r>
      <w:r w:rsidR="00654904" w:rsidRPr="00BE39C7">
        <w:rPr>
          <w:rFonts w:cstheme="minorHAnsi"/>
          <w:sz w:val="24"/>
          <w:szCs w:val="24"/>
        </w:rPr>
        <w:t>and 5(2.6</w:t>
      </w:r>
      <w:r w:rsidR="003436B4" w:rsidRPr="00BE39C7">
        <w:rPr>
          <w:rFonts w:cstheme="minorHAnsi"/>
          <w:sz w:val="24"/>
          <w:szCs w:val="24"/>
        </w:rPr>
        <w:t>%) didn’t know the answer</w:t>
      </w:r>
    </w:p>
    <w:p w:rsidR="0065490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Among the participants,</w:t>
      </w:r>
      <w:r w:rsidR="00654904" w:rsidRPr="00BE39C7">
        <w:rPr>
          <w:rFonts w:cstheme="minorHAnsi"/>
          <w:sz w:val="24"/>
          <w:szCs w:val="24"/>
        </w:rPr>
        <w:t xml:space="preserve"> 128(65.3%) agreed that most dentist are adequately trained to examine patients for oral cancer, 30(15.3%) strongly agreed, 26(13.3%) disagreed, 2(1.0%) strongly disagreed and 10(5.1%) didn’t know the answer.</w:t>
      </w:r>
    </w:p>
    <w:p w:rsidR="0065490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One hundred </w:t>
      </w:r>
      <w:proofErr w:type="gramStart"/>
      <w:r>
        <w:rPr>
          <w:rFonts w:cstheme="minorHAnsi"/>
          <w:sz w:val="24"/>
          <w:szCs w:val="24"/>
        </w:rPr>
        <w:t>fourteen</w:t>
      </w:r>
      <w:r w:rsidR="00654904" w:rsidRPr="00BE39C7">
        <w:rPr>
          <w:rFonts w:cstheme="minorHAnsi"/>
          <w:sz w:val="24"/>
          <w:szCs w:val="24"/>
        </w:rPr>
        <w:t>(</w:t>
      </w:r>
      <w:proofErr w:type="gramEnd"/>
      <w:r w:rsidR="00654904" w:rsidRPr="00BE39C7">
        <w:rPr>
          <w:rFonts w:cstheme="minorHAnsi"/>
          <w:sz w:val="24"/>
          <w:szCs w:val="24"/>
        </w:rPr>
        <w:t>58.2%) agreed that most physician are adequately trained to examine patients for oral cancer, 25(12.8%) strongly agre</w:t>
      </w:r>
      <w:r w:rsidR="00796C61">
        <w:rPr>
          <w:rFonts w:cstheme="minorHAnsi"/>
          <w:sz w:val="24"/>
          <w:szCs w:val="24"/>
        </w:rPr>
        <w:t>ed, 47(24.0%) disagreed, 2(1.0%</w:t>
      </w:r>
      <w:r w:rsidR="00654904" w:rsidRPr="00BE39C7">
        <w:rPr>
          <w:rFonts w:cstheme="minorHAnsi"/>
          <w:sz w:val="24"/>
          <w:szCs w:val="24"/>
        </w:rPr>
        <w:t>) strongly disagreed and 8(4.1%) didn’t know the answer .</w:t>
      </w:r>
    </w:p>
    <w:p w:rsidR="00654904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One hundred twenty eight </w:t>
      </w:r>
      <w:r w:rsidR="00654904" w:rsidRPr="00BE39C7">
        <w:rPr>
          <w:rFonts w:cstheme="minorHAnsi"/>
          <w:sz w:val="24"/>
          <w:szCs w:val="24"/>
        </w:rPr>
        <w:t>(65.3</w:t>
      </w:r>
      <w:proofErr w:type="gramStart"/>
      <w:r w:rsidR="00654904" w:rsidRPr="00BE39C7">
        <w:rPr>
          <w:rFonts w:cstheme="minorHAnsi"/>
          <w:sz w:val="24"/>
          <w:szCs w:val="24"/>
        </w:rPr>
        <w:t>% )</w:t>
      </w:r>
      <w:proofErr w:type="gramEnd"/>
      <w:r w:rsidR="00654904" w:rsidRPr="00BE39C7">
        <w:rPr>
          <w:rFonts w:cstheme="minorHAnsi"/>
          <w:sz w:val="24"/>
          <w:szCs w:val="24"/>
        </w:rPr>
        <w:t xml:space="preserve"> agreed that they are adequately trained to palpate lymph node in patients neck, 54(27.6%) strongly agreed, 12 (6.1%) disagreed and 2 (1.0%) didn’t know the answer.</w:t>
      </w:r>
    </w:p>
    <w:p w:rsidR="006414FD" w:rsidRPr="00BE39C7" w:rsidRDefault="006414FD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534025" cy="2543175"/>
            <wp:effectExtent l="19050" t="0" r="9525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46FCD" w:rsidRPr="00BE39C7" w:rsidRDefault="00381398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proofErr w:type="gramStart"/>
      <w:r w:rsidRPr="00BE39C7">
        <w:rPr>
          <w:rFonts w:cstheme="minorHAnsi"/>
          <w:sz w:val="24"/>
          <w:szCs w:val="24"/>
        </w:rPr>
        <w:t>Fig 11.</w:t>
      </w:r>
      <w:proofErr w:type="gramEnd"/>
      <w:r w:rsidRPr="00BE39C7">
        <w:rPr>
          <w:rFonts w:cstheme="minorHAnsi"/>
          <w:sz w:val="24"/>
          <w:szCs w:val="24"/>
        </w:rPr>
        <w:t xml:space="preserve">  </w:t>
      </w:r>
      <w:proofErr w:type="gramStart"/>
      <w:r w:rsidRPr="00BE39C7">
        <w:rPr>
          <w:rFonts w:cstheme="minorHAnsi"/>
          <w:sz w:val="24"/>
          <w:szCs w:val="24"/>
        </w:rPr>
        <w:t>bar</w:t>
      </w:r>
      <w:proofErr w:type="gramEnd"/>
      <w:r w:rsidRPr="00BE39C7">
        <w:rPr>
          <w:rFonts w:cstheme="minorHAnsi"/>
          <w:sz w:val="24"/>
          <w:szCs w:val="24"/>
        </w:rPr>
        <w:t xml:space="preserve"> diagram showing opinion of participants in oral cancer</w:t>
      </w:r>
    </w:p>
    <w:p w:rsidR="00D46FCD" w:rsidRPr="00BE39C7" w:rsidRDefault="00D46FCD" w:rsidP="00EB366A">
      <w:pPr>
        <w:tabs>
          <w:tab w:val="left" w:pos="1302"/>
        </w:tabs>
        <w:jc w:val="both"/>
        <w:rPr>
          <w:rFonts w:cstheme="minorHAnsi"/>
          <w:b/>
          <w:sz w:val="24"/>
          <w:szCs w:val="24"/>
        </w:rPr>
      </w:pPr>
      <w:r w:rsidRPr="00BE39C7">
        <w:rPr>
          <w:rFonts w:cstheme="minorHAnsi"/>
          <w:b/>
          <w:sz w:val="24"/>
          <w:szCs w:val="24"/>
        </w:rPr>
        <w:t xml:space="preserve">About the questions asked about aids for diagnosis of oral cancer </w:t>
      </w:r>
    </w:p>
    <w:p w:rsidR="00D46FCD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participants, </w:t>
      </w:r>
      <w:r w:rsidR="00D46FCD" w:rsidRPr="00BE39C7">
        <w:rPr>
          <w:rFonts w:cstheme="minorHAnsi"/>
          <w:sz w:val="24"/>
          <w:szCs w:val="24"/>
        </w:rPr>
        <w:t xml:space="preserve">152(77.6%) had heard about </w:t>
      </w:r>
      <w:proofErr w:type="spellStart"/>
      <w:r w:rsidR="00D46FCD" w:rsidRPr="00BE39C7">
        <w:rPr>
          <w:rFonts w:cstheme="minorHAnsi"/>
          <w:sz w:val="24"/>
          <w:szCs w:val="24"/>
        </w:rPr>
        <w:t>totuidine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blue, 67(34.2%) had heard about </w:t>
      </w:r>
      <w:proofErr w:type="spellStart"/>
      <w:r w:rsidR="00D46FCD" w:rsidRPr="00BE39C7">
        <w:rPr>
          <w:rFonts w:cstheme="minorHAnsi"/>
          <w:sz w:val="24"/>
          <w:szCs w:val="24"/>
        </w:rPr>
        <w:t>vizilite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</w:t>
      </w:r>
      <w:proofErr w:type="spellStart"/>
      <w:r w:rsidR="00D46FCD" w:rsidRPr="00BE39C7">
        <w:rPr>
          <w:rFonts w:cstheme="minorHAnsi"/>
          <w:sz w:val="24"/>
          <w:szCs w:val="24"/>
        </w:rPr>
        <w:t>pluse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with </w:t>
      </w:r>
      <w:proofErr w:type="spellStart"/>
      <w:r w:rsidR="00D46FCD" w:rsidRPr="00BE39C7">
        <w:rPr>
          <w:rFonts w:cstheme="minorHAnsi"/>
          <w:sz w:val="24"/>
          <w:szCs w:val="24"/>
        </w:rPr>
        <w:t>tblue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, 57(29.1%) had heard about </w:t>
      </w:r>
      <w:proofErr w:type="spellStart"/>
      <w:r w:rsidR="00D46FCD" w:rsidRPr="00BE39C7">
        <w:rPr>
          <w:rFonts w:cstheme="minorHAnsi"/>
          <w:sz w:val="24"/>
          <w:szCs w:val="24"/>
        </w:rPr>
        <w:t>microlux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DL, 60(30.6%) had heard about </w:t>
      </w:r>
      <w:proofErr w:type="spellStart"/>
      <w:r w:rsidR="00D46FCD" w:rsidRPr="00BE39C7">
        <w:rPr>
          <w:rFonts w:cstheme="minorHAnsi"/>
          <w:sz w:val="24"/>
          <w:szCs w:val="24"/>
        </w:rPr>
        <w:t>VELscope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, 100(51.0%) had heard about oral CDX brush biopsy, 36(18.4%) had heard about sapphire </w:t>
      </w:r>
      <w:proofErr w:type="spellStart"/>
      <w:r w:rsidR="00D46FCD" w:rsidRPr="00BE39C7">
        <w:rPr>
          <w:rFonts w:cstheme="minorHAnsi"/>
          <w:sz w:val="24"/>
          <w:szCs w:val="24"/>
        </w:rPr>
        <w:t>velscope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and 32 (16.3%) had heard about </w:t>
      </w:r>
      <w:proofErr w:type="spellStart"/>
      <w:r w:rsidR="00D46FCD" w:rsidRPr="00BE39C7">
        <w:rPr>
          <w:rFonts w:cstheme="minorHAnsi"/>
          <w:sz w:val="24"/>
          <w:szCs w:val="24"/>
        </w:rPr>
        <w:t>trimira</w:t>
      </w:r>
      <w:proofErr w:type="spellEnd"/>
      <w:r w:rsidR="00D46FCD" w:rsidRPr="00BE39C7">
        <w:rPr>
          <w:rFonts w:cstheme="minorHAnsi"/>
          <w:sz w:val="24"/>
          <w:szCs w:val="24"/>
        </w:rPr>
        <w:t xml:space="preserve"> </w:t>
      </w:r>
      <w:proofErr w:type="spellStart"/>
      <w:r w:rsidR="00D46FCD" w:rsidRPr="00BE39C7">
        <w:rPr>
          <w:rFonts w:cstheme="minorHAnsi"/>
          <w:sz w:val="24"/>
          <w:szCs w:val="24"/>
        </w:rPr>
        <w:t>identafi</w:t>
      </w:r>
      <w:proofErr w:type="spellEnd"/>
      <w:r w:rsidR="00381398" w:rsidRPr="00BE39C7">
        <w:rPr>
          <w:rFonts w:cstheme="minorHAnsi"/>
          <w:sz w:val="24"/>
          <w:szCs w:val="24"/>
        </w:rPr>
        <w:t>.</w:t>
      </w:r>
    </w:p>
    <w:p w:rsidR="00381398" w:rsidRPr="00BE39C7" w:rsidRDefault="00381398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534025" cy="2486025"/>
            <wp:effectExtent l="19050" t="0" r="9525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1398" w:rsidRPr="00BE39C7" w:rsidRDefault="00381398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381398" w:rsidRPr="00BE39C7" w:rsidRDefault="00DC79F0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Fourty</w:t>
      </w:r>
      <w:proofErr w:type="spellEnd"/>
      <w:r w:rsidR="00381398" w:rsidRPr="00BE39C7">
        <w:rPr>
          <w:rFonts w:cstheme="minorHAnsi"/>
          <w:sz w:val="24"/>
          <w:szCs w:val="24"/>
        </w:rPr>
        <w:t>(</w:t>
      </w:r>
      <w:proofErr w:type="gramEnd"/>
      <w:r w:rsidR="00381398" w:rsidRPr="00BE39C7">
        <w:rPr>
          <w:rFonts w:cstheme="minorHAnsi"/>
          <w:sz w:val="24"/>
          <w:szCs w:val="24"/>
        </w:rPr>
        <w:t xml:space="preserve">20.4%) had used  </w:t>
      </w:r>
      <w:proofErr w:type="spellStart"/>
      <w:r w:rsidR="00381398" w:rsidRPr="00BE39C7">
        <w:rPr>
          <w:rFonts w:cstheme="minorHAnsi"/>
          <w:sz w:val="24"/>
          <w:szCs w:val="24"/>
        </w:rPr>
        <w:t>totuidine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 blue, 7(3.6%) had used  </w:t>
      </w:r>
      <w:proofErr w:type="spellStart"/>
      <w:r w:rsidR="00381398" w:rsidRPr="00BE39C7">
        <w:rPr>
          <w:rFonts w:cstheme="minorHAnsi"/>
          <w:sz w:val="24"/>
          <w:szCs w:val="24"/>
        </w:rPr>
        <w:t>vizilite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 </w:t>
      </w:r>
      <w:proofErr w:type="spellStart"/>
      <w:r w:rsidR="00381398" w:rsidRPr="00BE39C7">
        <w:rPr>
          <w:rFonts w:cstheme="minorHAnsi"/>
          <w:sz w:val="24"/>
          <w:szCs w:val="24"/>
        </w:rPr>
        <w:t>pluse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 with </w:t>
      </w:r>
      <w:proofErr w:type="spellStart"/>
      <w:r w:rsidR="00381398" w:rsidRPr="00BE39C7">
        <w:rPr>
          <w:rFonts w:cstheme="minorHAnsi"/>
          <w:sz w:val="24"/>
          <w:szCs w:val="24"/>
        </w:rPr>
        <w:t>tblue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, 10(5.1%) had used  </w:t>
      </w:r>
      <w:proofErr w:type="spellStart"/>
      <w:r w:rsidR="00381398" w:rsidRPr="00BE39C7">
        <w:rPr>
          <w:rFonts w:cstheme="minorHAnsi"/>
          <w:sz w:val="24"/>
          <w:szCs w:val="24"/>
        </w:rPr>
        <w:t>microlux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 DL, 6(3.1%) had used </w:t>
      </w:r>
      <w:proofErr w:type="spellStart"/>
      <w:r w:rsidR="00381398" w:rsidRPr="00BE39C7">
        <w:rPr>
          <w:rFonts w:cstheme="minorHAnsi"/>
          <w:sz w:val="24"/>
          <w:szCs w:val="24"/>
        </w:rPr>
        <w:t>VELscope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, 15 (7.7%) had </w:t>
      </w:r>
      <w:r w:rsidR="00A718AC" w:rsidRPr="00BE39C7">
        <w:rPr>
          <w:rFonts w:cstheme="minorHAnsi"/>
          <w:sz w:val="24"/>
          <w:szCs w:val="24"/>
        </w:rPr>
        <w:t>used  oral CDX brush biopsy, 5(2</w:t>
      </w:r>
      <w:r w:rsidR="00381398" w:rsidRPr="00BE39C7">
        <w:rPr>
          <w:rFonts w:cstheme="minorHAnsi"/>
          <w:sz w:val="24"/>
          <w:szCs w:val="24"/>
        </w:rPr>
        <w:t>.</w:t>
      </w:r>
      <w:r w:rsidR="00A718AC" w:rsidRPr="00BE39C7">
        <w:rPr>
          <w:rFonts w:cstheme="minorHAnsi"/>
          <w:sz w:val="24"/>
          <w:szCs w:val="24"/>
        </w:rPr>
        <w:t>60</w:t>
      </w:r>
      <w:r w:rsidR="00381398" w:rsidRPr="00BE39C7">
        <w:rPr>
          <w:rFonts w:cstheme="minorHAnsi"/>
          <w:sz w:val="24"/>
          <w:szCs w:val="24"/>
        </w:rPr>
        <w:t xml:space="preserve">%) had </w:t>
      </w:r>
      <w:r w:rsidR="00A718AC" w:rsidRPr="00BE39C7">
        <w:rPr>
          <w:rFonts w:cstheme="minorHAnsi"/>
          <w:sz w:val="24"/>
          <w:szCs w:val="24"/>
        </w:rPr>
        <w:t xml:space="preserve">used sapphire </w:t>
      </w:r>
      <w:proofErr w:type="spellStart"/>
      <w:r w:rsidR="00A718AC" w:rsidRPr="00BE39C7">
        <w:rPr>
          <w:rFonts w:cstheme="minorHAnsi"/>
          <w:sz w:val="24"/>
          <w:szCs w:val="24"/>
        </w:rPr>
        <w:t>velscope</w:t>
      </w:r>
      <w:proofErr w:type="spellEnd"/>
      <w:r w:rsidR="00A718AC" w:rsidRPr="00BE39C7">
        <w:rPr>
          <w:rFonts w:cstheme="minorHAnsi"/>
          <w:sz w:val="24"/>
          <w:szCs w:val="24"/>
        </w:rPr>
        <w:t xml:space="preserve"> and 8 (4.1%) had used</w:t>
      </w:r>
      <w:r w:rsidR="00381398" w:rsidRPr="00BE39C7">
        <w:rPr>
          <w:rFonts w:cstheme="minorHAnsi"/>
          <w:sz w:val="24"/>
          <w:szCs w:val="24"/>
        </w:rPr>
        <w:t xml:space="preserve"> </w:t>
      </w:r>
      <w:proofErr w:type="spellStart"/>
      <w:r w:rsidR="00381398" w:rsidRPr="00BE39C7">
        <w:rPr>
          <w:rFonts w:cstheme="minorHAnsi"/>
          <w:sz w:val="24"/>
          <w:szCs w:val="24"/>
        </w:rPr>
        <w:t>trimira</w:t>
      </w:r>
      <w:proofErr w:type="spellEnd"/>
      <w:r w:rsidR="00381398" w:rsidRPr="00BE39C7">
        <w:rPr>
          <w:rFonts w:cstheme="minorHAnsi"/>
          <w:sz w:val="24"/>
          <w:szCs w:val="24"/>
        </w:rPr>
        <w:t xml:space="preserve"> </w:t>
      </w:r>
      <w:proofErr w:type="spellStart"/>
      <w:r w:rsidR="00381398" w:rsidRPr="00BE39C7">
        <w:rPr>
          <w:rFonts w:cstheme="minorHAnsi"/>
          <w:sz w:val="24"/>
          <w:szCs w:val="24"/>
        </w:rPr>
        <w:t>identafi</w:t>
      </w:r>
      <w:proofErr w:type="spellEnd"/>
      <w:r w:rsidR="00A718AC" w:rsidRPr="00BE39C7">
        <w:rPr>
          <w:rFonts w:cstheme="minorHAnsi"/>
          <w:sz w:val="24"/>
          <w:szCs w:val="24"/>
        </w:rPr>
        <w:t xml:space="preserve"> as diagnostic aids for cancer.</w:t>
      </w:r>
    </w:p>
    <w:p w:rsidR="00504652" w:rsidRPr="00BE39C7" w:rsidRDefault="00504652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0F5727" w:rsidRPr="00BE39C7" w:rsidRDefault="00504652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5543550" cy="2886075"/>
            <wp:effectExtent l="19050" t="0" r="19050" b="0"/>
            <wp:docPr id="1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DC79F0" w:rsidRPr="00BE39C7">
        <w:rPr>
          <w:rFonts w:cstheme="minorHAnsi"/>
          <w:sz w:val="24"/>
          <w:szCs w:val="24"/>
        </w:rPr>
        <w:t xml:space="preserve"> </w:t>
      </w:r>
    </w:p>
    <w:p w:rsidR="000F5727" w:rsidRPr="00BE39C7" w:rsidRDefault="000F5727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0F5727" w:rsidRPr="00BE39C7" w:rsidRDefault="000F5727" w:rsidP="00EB366A">
      <w:pPr>
        <w:tabs>
          <w:tab w:val="left" w:pos="1302"/>
        </w:tabs>
        <w:jc w:val="both"/>
        <w:rPr>
          <w:rFonts w:cstheme="minorHAnsi"/>
          <w:b/>
          <w:sz w:val="24"/>
          <w:szCs w:val="24"/>
        </w:rPr>
      </w:pPr>
      <w:r w:rsidRPr="00BE39C7">
        <w:rPr>
          <w:rFonts w:cstheme="minorHAnsi"/>
          <w:b/>
          <w:sz w:val="24"/>
          <w:szCs w:val="24"/>
        </w:rPr>
        <w:t>Opinions about their education in oral cancer</w:t>
      </w:r>
    </w:p>
    <w:p w:rsidR="000F5727" w:rsidRPr="00BE39C7" w:rsidRDefault="000F5727" w:rsidP="00EB36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Medical practitioners were asked if they had attended any continuing education course on oral cancer.</w:t>
      </w:r>
      <w:r w:rsidR="00DC79F0">
        <w:rPr>
          <w:rFonts w:cstheme="minorHAnsi"/>
          <w:sz w:val="24"/>
          <w:szCs w:val="24"/>
        </w:rPr>
        <w:t xml:space="preserve"> Sixty two </w:t>
      </w:r>
      <w:r w:rsidRPr="00BE39C7">
        <w:rPr>
          <w:rFonts w:cstheme="minorHAnsi"/>
          <w:sz w:val="24"/>
          <w:szCs w:val="24"/>
        </w:rPr>
        <w:t xml:space="preserve">(31.6%) answered yes and 134(68.4%) answered no. </w:t>
      </w:r>
    </w:p>
    <w:p w:rsidR="00DF151C" w:rsidRDefault="00DC79F0" w:rsidP="00EB36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C79F0">
        <w:rPr>
          <w:rFonts w:cstheme="minorHAnsi"/>
          <w:noProof/>
          <w:sz w:val="24"/>
          <w:szCs w:val="24"/>
        </w:rPr>
        <w:drawing>
          <wp:inline distT="0" distB="0" distL="0" distR="0">
            <wp:extent cx="4381500" cy="2486025"/>
            <wp:effectExtent l="19050" t="0" r="19050" b="0"/>
            <wp:docPr id="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C79F0" w:rsidRPr="00BE39C7" w:rsidRDefault="00DC79F0" w:rsidP="00EB36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81398" w:rsidRPr="00BE39C7" w:rsidRDefault="000F5727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lastRenderedPageBreak/>
        <w:t xml:space="preserve">Among </w:t>
      </w:r>
      <w:r w:rsidR="00DC79F0">
        <w:rPr>
          <w:rFonts w:cstheme="minorHAnsi"/>
          <w:sz w:val="24"/>
          <w:szCs w:val="24"/>
        </w:rPr>
        <w:t xml:space="preserve">the participants who </w:t>
      </w:r>
      <w:r w:rsidRPr="00BE39C7">
        <w:rPr>
          <w:rFonts w:cstheme="minorHAnsi"/>
          <w:sz w:val="24"/>
          <w:szCs w:val="24"/>
        </w:rPr>
        <w:t>had attended the course 33 (52.3%) had attended during past 2 -5 yrs,</w:t>
      </w:r>
      <w:r w:rsidR="00DF151C" w:rsidRPr="00BE39C7">
        <w:rPr>
          <w:rFonts w:cstheme="minorHAnsi"/>
          <w:sz w:val="24"/>
          <w:szCs w:val="24"/>
        </w:rPr>
        <w:t xml:space="preserve"> 12 (19.4%)</w:t>
      </w:r>
      <w:r w:rsidR="00796C61">
        <w:rPr>
          <w:rFonts w:cstheme="minorHAnsi"/>
          <w:sz w:val="24"/>
          <w:szCs w:val="24"/>
        </w:rPr>
        <w:t xml:space="preserve"> had attended with in past yrs</w:t>
      </w:r>
      <w:proofErr w:type="gramStart"/>
      <w:r w:rsidR="00DF151C" w:rsidRPr="00BE39C7">
        <w:rPr>
          <w:rFonts w:cstheme="minorHAnsi"/>
          <w:sz w:val="24"/>
          <w:szCs w:val="24"/>
        </w:rPr>
        <w:t>,  11</w:t>
      </w:r>
      <w:proofErr w:type="gramEnd"/>
      <w:r w:rsidR="00DF151C" w:rsidRPr="00BE39C7">
        <w:rPr>
          <w:rFonts w:cstheme="minorHAnsi"/>
          <w:sz w:val="24"/>
          <w:szCs w:val="24"/>
        </w:rPr>
        <w:t>(17.7%) had attended more than 5 years ago.</w:t>
      </w:r>
    </w:p>
    <w:p w:rsidR="00DF151C" w:rsidRPr="00BE39C7" w:rsidRDefault="00DF151C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5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D33F5" w:rsidRPr="00BE39C7" w:rsidRDefault="004D33F5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627047" w:rsidRDefault="004D33F5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In question asked about the interest in attending continuining educational course on oral cancer, 149(76.6%) answered yes and 39(19.9%) answered no.</w:t>
      </w:r>
      <w:r w:rsidR="00566682" w:rsidRPr="00BE39C7">
        <w:rPr>
          <w:rFonts w:cstheme="minorHAnsi"/>
          <w:sz w:val="24"/>
          <w:szCs w:val="24"/>
        </w:rPr>
        <w:t xml:space="preserve"> 8 (4.1%) were not sure.</w:t>
      </w:r>
      <w:r w:rsidR="00566682" w:rsidRPr="00BE39C7">
        <w:rPr>
          <w:rFonts w:cstheme="minorHAnsi"/>
          <w:noProof/>
          <w:sz w:val="24"/>
          <w:szCs w:val="24"/>
        </w:rPr>
        <w:t xml:space="preserve"> </w:t>
      </w:r>
      <w:r w:rsidR="00566682" w:rsidRPr="00BE39C7">
        <w:rPr>
          <w:rFonts w:cstheme="minorHAnsi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7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627047" w:rsidRPr="00BE39C7">
        <w:rPr>
          <w:rFonts w:cstheme="minorHAnsi"/>
          <w:sz w:val="24"/>
          <w:szCs w:val="24"/>
        </w:rPr>
        <w:t xml:space="preserve"> </w:t>
      </w:r>
    </w:p>
    <w:p w:rsidR="00627047" w:rsidRDefault="00627047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EB366A" w:rsidRDefault="00EB366A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EB366A" w:rsidRDefault="00EB366A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EB366A" w:rsidRDefault="00EB366A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566682" w:rsidRPr="00BE39C7" w:rsidRDefault="00566682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lastRenderedPageBreak/>
        <w:t>Type of educational approach preferred was first choice:</w:t>
      </w:r>
    </w:p>
    <w:tbl>
      <w:tblPr>
        <w:tblStyle w:val="TableGrid"/>
        <w:tblW w:w="0" w:type="auto"/>
        <w:tblLook w:val="04A0"/>
      </w:tblPr>
      <w:tblGrid>
        <w:gridCol w:w="4062"/>
        <w:gridCol w:w="1320"/>
        <w:gridCol w:w="1440"/>
      </w:tblGrid>
      <w:tr w:rsidR="00566682" w:rsidRPr="00BE39C7" w:rsidTr="00627047">
        <w:tc>
          <w:tcPr>
            <w:tcW w:w="6822" w:type="dxa"/>
            <w:gridSpan w:val="3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 xml:space="preserve">Table no.5. </w:t>
            </w:r>
            <w:r w:rsidRPr="00BE39C7">
              <w:rPr>
                <w:rFonts w:cstheme="minorHAnsi"/>
                <w:sz w:val="24"/>
                <w:szCs w:val="24"/>
              </w:rPr>
              <w:t>educational approach preferred  (first)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percentage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Hands out, booklet with self test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8.1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Continuing education journals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11.4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Audio-visual slide or video tape series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28.2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Satellite telecommunication program viewed at medical centre or taped for future viewing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6.7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18.1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Clinical demonstration course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21.5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Study club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1.3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 xml:space="preserve">Computer based </w:t>
            </w:r>
            <w:proofErr w:type="spellStart"/>
            <w:r w:rsidRPr="00BE39C7">
              <w:rPr>
                <w:rFonts w:cstheme="minorHAnsi"/>
                <w:color w:val="000000"/>
                <w:sz w:val="24"/>
                <w:szCs w:val="24"/>
              </w:rPr>
              <w:t>programmes</w:t>
            </w:r>
            <w:proofErr w:type="spellEnd"/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.7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Conference call with expert in field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3.4</w:t>
            </w:r>
          </w:p>
        </w:tc>
      </w:tr>
      <w:tr w:rsidR="00566682" w:rsidRPr="00BE39C7" w:rsidTr="00627047">
        <w:tc>
          <w:tcPr>
            <w:tcW w:w="4062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.7</w:t>
            </w:r>
          </w:p>
        </w:tc>
      </w:tr>
    </w:tbl>
    <w:p w:rsidR="00566682" w:rsidRPr="00BE39C7" w:rsidRDefault="00566682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566682" w:rsidRPr="00BE39C7" w:rsidRDefault="00566682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BE39C7">
        <w:rPr>
          <w:rFonts w:cstheme="minorHAnsi"/>
          <w:sz w:val="24"/>
          <w:szCs w:val="24"/>
        </w:rPr>
        <w:t>Second choice:</w:t>
      </w:r>
    </w:p>
    <w:tbl>
      <w:tblPr>
        <w:tblStyle w:val="TableGrid"/>
        <w:tblpPr w:leftFromText="180" w:rightFromText="180" w:vertAnchor="text" w:horzAnchor="margin" w:tblpY="36"/>
        <w:tblW w:w="0" w:type="auto"/>
        <w:tblLook w:val="04A0"/>
      </w:tblPr>
      <w:tblGrid>
        <w:gridCol w:w="4788"/>
        <w:gridCol w:w="1320"/>
        <w:gridCol w:w="1440"/>
      </w:tblGrid>
      <w:tr w:rsidR="00566682" w:rsidRPr="00BE39C7" w:rsidTr="00627047">
        <w:trPr>
          <w:trHeight w:val="307"/>
        </w:trPr>
        <w:tc>
          <w:tcPr>
            <w:tcW w:w="7548" w:type="dxa"/>
            <w:gridSpan w:val="3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 xml:space="preserve">Table no.6. </w:t>
            </w:r>
            <w:r w:rsidRPr="00BE39C7">
              <w:rPr>
                <w:rFonts w:cstheme="minorHAnsi"/>
                <w:sz w:val="24"/>
                <w:szCs w:val="24"/>
              </w:rPr>
              <w:t>educational approach preferred  (second)</w:t>
            </w:r>
          </w:p>
        </w:tc>
      </w:tr>
      <w:tr w:rsidR="00566682" w:rsidRPr="00BE39C7" w:rsidTr="00627047">
        <w:trPr>
          <w:trHeight w:val="323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percentage</w:t>
            </w:r>
          </w:p>
        </w:tc>
      </w:tr>
      <w:tr w:rsidR="00566682" w:rsidRPr="00BE39C7" w:rsidTr="00627047">
        <w:trPr>
          <w:trHeight w:val="629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Hands out, booklet with self test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4.7</w:t>
            </w:r>
          </w:p>
        </w:tc>
      </w:tr>
      <w:tr w:rsidR="00566682" w:rsidRPr="00BE39C7" w:rsidTr="00627047">
        <w:trPr>
          <w:trHeight w:val="644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Continuing education journals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6.0</w:t>
            </w:r>
          </w:p>
        </w:tc>
      </w:tr>
      <w:tr w:rsidR="00566682" w:rsidRPr="00BE39C7" w:rsidTr="00627047">
        <w:trPr>
          <w:trHeight w:val="644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Audio-visual slide or video tape series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15.4</w:t>
            </w:r>
          </w:p>
        </w:tc>
      </w:tr>
      <w:tr w:rsidR="00566682" w:rsidRPr="00BE39C7" w:rsidTr="00627047">
        <w:trPr>
          <w:trHeight w:val="926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Satellite telecommunication program viewed at medical centre or taped for future viewing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5.4</w:t>
            </w:r>
          </w:p>
        </w:tc>
      </w:tr>
      <w:tr w:rsidR="00566682" w:rsidRPr="00BE39C7" w:rsidTr="00627047">
        <w:trPr>
          <w:trHeight w:val="307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15.4</w:t>
            </w:r>
          </w:p>
        </w:tc>
      </w:tr>
      <w:tr w:rsidR="00566682" w:rsidRPr="00BE39C7" w:rsidTr="00627047">
        <w:trPr>
          <w:trHeight w:val="557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Clinical demonstration course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35.6</w:t>
            </w:r>
          </w:p>
        </w:tc>
      </w:tr>
      <w:tr w:rsidR="00566682" w:rsidRPr="00BE39C7" w:rsidTr="00627047">
        <w:trPr>
          <w:trHeight w:val="323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Study club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.7</w:t>
            </w:r>
          </w:p>
        </w:tc>
      </w:tr>
      <w:tr w:rsidR="00566682" w:rsidRPr="00BE39C7" w:rsidTr="00627047">
        <w:trPr>
          <w:trHeight w:val="629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 xml:space="preserve">Computer based </w:t>
            </w:r>
            <w:proofErr w:type="spellStart"/>
            <w:r w:rsidRPr="00BE39C7">
              <w:rPr>
                <w:rFonts w:cstheme="minorHAnsi"/>
                <w:color w:val="000000"/>
                <w:sz w:val="24"/>
                <w:szCs w:val="24"/>
              </w:rPr>
              <w:t>programmes</w:t>
            </w:r>
            <w:proofErr w:type="spellEnd"/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10.1</w:t>
            </w:r>
          </w:p>
        </w:tc>
      </w:tr>
      <w:tr w:rsidR="00566682" w:rsidRPr="00BE39C7" w:rsidTr="00627047">
        <w:trPr>
          <w:trHeight w:val="644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Conference call with expert in field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2.0</w:t>
            </w:r>
          </w:p>
        </w:tc>
      </w:tr>
      <w:tr w:rsidR="00566682" w:rsidRPr="00BE39C7" w:rsidTr="00627047">
        <w:trPr>
          <w:trHeight w:val="449"/>
        </w:trPr>
        <w:tc>
          <w:tcPr>
            <w:tcW w:w="4788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1320" w:type="dxa"/>
          </w:tcPr>
          <w:p w:rsidR="00566682" w:rsidRPr="00BE39C7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566682" w:rsidRDefault="00566682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E39C7">
              <w:rPr>
                <w:rFonts w:cstheme="minorHAnsi"/>
                <w:color w:val="000000"/>
                <w:sz w:val="24"/>
                <w:szCs w:val="24"/>
              </w:rPr>
              <w:t>4.7</w:t>
            </w:r>
          </w:p>
          <w:p w:rsidR="001A186E" w:rsidRPr="00BE39C7" w:rsidRDefault="001A186E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1A186E" w:rsidRDefault="001A186E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p w:rsidR="001A186E" w:rsidRDefault="001A186E" w:rsidP="00EB36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E7514" w:rsidRDefault="001A186E" w:rsidP="00EB366A">
      <w:pPr>
        <w:tabs>
          <w:tab w:val="left" w:pos="1302"/>
        </w:tabs>
        <w:jc w:val="both"/>
        <w:rPr>
          <w:noProof/>
        </w:rPr>
      </w:pPr>
      <w:r>
        <w:rPr>
          <w:rFonts w:cstheme="minorHAnsi"/>
          <w:sz w:val="24"/>
          <w:szCs w:val="24"/>
        </w:rPr>
        <w:lastRenderedPageBreak/>
        <w:t>In question asked to rate their under graduate training regarding oral cancer examination</w:t>
      </w:r>
      <w:r w:rsidR="00F31DC4">
        <w:rPr>
          <w:rFonts w:cstheme="minorHAnsi"/>
          <w:sz w:val="24"/>
          <w:szCs w:val="24"/>
        </w:rPr>
        <w:t xml:space="preserve"> 6(3.1%) rate very good, 115(58.7%) good, 62(31.6%) poor, 5(2.6%)very poor and 8(4.1%)not sure about the answer.</w:t>
      </w:r>
      <w:r w:rsidR="00F31DC4" w:rsidRPr="00F31DC4">
        <w:rPr>
          <w:noProof/>
        </w:rPr>
        <w:t xml:space="preserve"> </w:t>
      </w:r>
      <w:r w:rsidR="00F31DC4" w:rsidRPr="00F31DC4">
        <w:rPr>
          <w:rFonts w:cstheme="minorHAnsi"/>
          <w:noProof/>
          <w:sz w:val="24"/>
          <w:szCs w:val="24"/>
        </w:rPr>
        <w:drawing>
          <wp:inline distT="0" distB="0" distL="0" distR="0">
            <wp:extent cx="5768801" cy="3185328"/>
            <wp:effectExtent l="19050" t="0" r="22399" b="0"/>
            <wp:docPr id="18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627047">
        <w:rPr>
          <w:noProof/>
        </w:rPr>
        <w:t xml:space="preserve"> </w:t>
      </w:r>
    </w:p>
    <w:p w:rsidR="00FE7514" w:rsidRDefault="00FE7514" w:rsidP="00EB366A">
      <w:pPr>
        <w:tabs>
          <w:tab w:val="left" w:pos="1302"/>
        </w:tabs>
        <w:jc w:val="both"/>
        <w:rPr>
          <w:noProof/>
        </w:rPr>
      </w:pPr>
    </w:p>
    <w:p w:rsidR="00627047" w:rsidRDefault="00627047" w:rsidP="00EB366A">
      <w:pPr>
        <w:jc w:val="bot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br w:type="page"/>
      </w:r>
    </w:p>
    <w:p w:rsidR="00FE7514" w:rsidRDefault="00FE7514" w:rsidP="00EB366A">
      <w:pPr>
        <w:tabs>
          <w:tab w:val="left" w:pos="1302"/>
        </w:tabs>
        <w:jc w:val="both"/>
        <w:rPr>
          <w:rFonts w:cstheme="minorHAnsi"/>
          <w:b/>
          <w:color w:val="000000" w:themeColor="text1"/>
          <w:sz w:val="32"/>
          <w:szCs w:val="32"/>
        </w:rPr>
      </w:pPr>
      <w:proofErr w:type="gramStart"/>
      <w:r w:rsidRPr="00FE7514">
        <w:rPr>
          <w:rFonts w:cstheme="minorHAnsi"/>
          <w:b/>
          <w:color w:val="000000" w:themeColor="text1"/>
          <w:sz w:val="32"/>
          <w:szCs w:val="32"/>
        </w:rPr>
        <w:lastRenderedPageBreak/>
        <w:t>Assessing  the</w:t>
      </w:r>
      <w:proofErr w:type="gramEnd"/>
      <w:r w:rsidRPr="00FE7514">
        <w:rPr>
          <w:rFonts w:cstheme="minorHAnsi"/>
          <w:b/>
          <w:color w:val="000000" w:themeColor="text1"/>
          <w:sz w:val="32"/>
          <w:szCs w:val="32"/>
        </w:rPr>
        <w:t xml:space="preserve"> knowledge</w:t>
      </w:r>
    </w:p>
    <w:tbl>
      <w:tblPr>
        <w:tblStyle w:val="TableGrid"/>
        <w:tblW w:w="0" w:type="auto"/>
        <w:tblLook w:val="04A0"/>
      </w:tblPr>
      <w:tblGrid>
        <w:gridCol w:w="1086"/>
        <w:gridCol w:w="1346"/>
        <w:gridCol w:w="1279"/>
        <w:gridCol w:w="1208"/>
        <w:gridCol w:w="1155"/>
        <w:gridCol w:w="1129"/>
        <w:gridCol w:w="1205"/>
        <w:gridCol w:w="1168"/>
      </w:tblGrid>
      <w:tr w:rsidR="00FE7514" w:rsidTr="008305FB">
        <w:tc>
          <w:tcPr>
            <w:tcW w:w="9576" w:type="dxa"/>
            <w:gridSpan w:val="8"/>
          </w:tcPr>
          <w:p w:rsidR="00FE7514" w:rsidRDefault="00FE7514" w:rsidP="00EB366A">
            <w:pPr>
              <w:jc w:val="both"/>
            </w:pPr>
            <w:r>
              <w:t>Table 7</w:t>
            </w: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S.N.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Category</w:t>
            </w:r>
          </w:p>
        </w:tc>
        <w:tc>
          <w:tcPr>
            <w:tcW w:w="1279" w:type="dxa"/>
            <w:vMerge w:val="restart"/>
          </w:tcPr>
          <w:p w:rsidR="00FE7514" w:rsidRDefault="00FE7514" w:rsidP="00EB366A">
            <w:pPr>
              <w:jc w:val="both"/>
            </w:pPr>
            <w:r>
              <w:t>Variable</w:t>
            </w:r>
          </w:p>
        </w:tc>
        <w:tc>
          <w:tcPr>
            <w:tcW w:w="3492" w:type="dxa"/>
            <w:gridSpan w:val="3"/>
          </w:tcPr>
          <w:p w:rsidR="00FE7514" w:rsidRDefault="00FE7514" w:rsidP="00EB366A">
            <w:pPr>
              <w:jc w:val="both"/>
            </w:pPr>
            <w:r>
              <w:t>Knowledge grading</w:t>
            </w:r>
          </w:p>
        </w:tc>
        <w:tc>
          <w:tcPr>
            <w:tcW w:w="1205" w:type="dxa"/>
          </w:tcPr>
          <w:p w:rsidR="00FE7514" w:rsidRDefault="00FE7514" w:rsidP="00EB366A">
            <w:pPr>
              <w:jc w:val="both"/>
            </w:pPr>
            <w:r>
              <w:t>p value</w:t>
            </w:r>
          </w:p>
        </w:tc>
        <w:tc>
          <w:tcPr>
            <w:tcW w:w="1168" w:type="dxa"/>
          </w:tcPr>
          <w:p w:rsidR="00FE7514" w:rsidRDefault="00FE7514" w:rsidP="00EB366A">
            <w:pPr>
              <w:jc w:val="both"/>
            </w:pPr>
            <w:r>
              <w:t>Remarks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  <w:vMerge/>
            <w:vAlign w:val="center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55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129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205" w:type="dxa"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1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Designation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M.O.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0.363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J.R.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S.R.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Consultant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2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Hospital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BPKIHS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0.086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3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Age group of participants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20-29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0.317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30-39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40-49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50-59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4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Gender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0.225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5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Place of study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0.342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Asia</w:t>
            </w:r>
          </w:p>
        </w:tc>
        <w:tc>
          <w:tcPr>
            <w:tcW w:w="1208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5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193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</w:tbl>
    <w:p w:rsidR="00FE7514" w:rsidRDefault="00FE7514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  <w:r w:rsidRPr="00FE7514">
        <w:rPr>
          <w:rFonts w:cstheme="minorHAnsi"/>
          <w:sz w:val="24"/>
          <w:szCs w:val="24"/>
        </w:rPr>
        <w:t xml:space="preserve"> No significant </w:t>
      </w:r>
      <w:r>
        <w:rPr>
          <w:rFonts w:cstheme="minorHAnsi"/>
          <w:sz w:val="24"/>
          <w:szCs w:val="24"/>
        </w:rPr>
        <w:t>relationship was found in knowledge and any demographic data.</w:t>
      </w:r>
    </w:p>
    <w:p w:rsidR="00FE7514" w:rsidRDefault="00FE7514" w:rsidP="00EB366A">
      <w:pPr>
        <w:tabs>
          <w:tab w:val="left" w:pos="1302"/>
        </w:tabs>
        <w:jc w:val="both"/>
        <w:rPr>
          <w:rFonts w:cstheme="minorHAnsi"/>
          <w:b/>
          <w:color w:val="000000" w:themeColor="text1"/>
          <w:sz w:val="32"/>
          <w:szCs w:val="32"/>
        </w:rPr>
      </w:pPr>
      <w:proofErr w:type="gramStart"/>
      <w:r w:rsidRPr="00FE7514">
        <w:rPr>
          <w:rFonts w:cstheme="minorHAnsi"/>
          <w:b/>
          <w:color w:val="000000" w:themeColor="text1"/>
          <w:sz w:val="32"/>
          <w:szCs w:val="32"/>
        </w:rPr>
        <w:t xml:space="preserve">Assessing </w:t>
      </w:r>
      <w:r>
        <w:rPr>
          <w:rFonts w:cstheme="minorHAnsi"/>
          <w:b/>
          <w:color w:val="000000" w:themeColor="text1"/>
          <w:sz w:val="32"/>
          <w:szCs w:val="32"/>
        </w:rPr>
        <w:t xml:space="preserve"> the</w:t>
      </w:r>
      <w:proofErr w:type="gramEnd"/>
      <w:r>
        <w:rPr>
          <w:rFonts w:cstheme="minorHAnsi"/>
          <w:b/>
          <w:color w:val="000000" w:themeColor="text1"/>
          <w:sz w:val="32"/>
          <w:szCs w:val="32"/>
        </w:rPr>
        <w:t xml:space="preserve"> practice</w:t>
      </w:r>
    </w:p>
    <w:p w:rsidR="00FE7514" w:rsidRDefault="00FE7514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86"/>
        <w:gridCol w:w="1346"/>
        <w:gridCol w:w="1279"/>
        <w:gridCol w:w="1208"/>
        <w:gridCol w:w="1155"/>
        <w:gridCol w:w="1129"/>
        <w:gridCol w:w="1205"/>
        <w:gridCol w:w="1168"/>
      </w:tblGrid>
      <w:tr w:rsidR="00FE7514" w:rsidTr="008305FB">
        <w:tc>
          <w:tcPr>
            <w:tcW w:w="9576" w:type="dxa"/>
            <w:gridSpan w:val="8"/>
          </w:tcPr>
          <w:p w:rsidR="00FE7514" w:rsidRDefault="00FE7514" w:rsidP="00EB366A">
            <w:pPr>
              <w:jc w:val="both"/>
            </w:pPr>
            <w:r>
              <w:t>Table 8</w:t>
            </w: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S.N.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Category</w:t>
            </w:r>
          </w:p>
        </w:tc>
        <w:tc>
          <w:tcPr>
            <w:tcW w:w="1279" w:type="dxa"/>
            <w:vMerge w:val="restart"/>
          </w:tcPr>
          <w:p w:rsidR="00FE7514" w:rsidRDefault="00FE7514" w:rsidP="00EB366A">
            <w:pPr>
              <w:jc w:val="both"/>
            </w:pPr>
            <w:r>
              <w:t>Variable</w:t>
            </w:r>
          </w:p>
        </w:tc>
        <w:tc>
          <w:tcPr>
            <w:tcW w:w="3492" w:type="dxa"/>
            <w:gridSpan w:val="3"/>
          </w:tcPr>
          <w:p w:rsidR="00FE7514" w:rsidRDefault="00FE7514" w:rsidP="00EB366A">
            <w:pPr>
              <w:jc w:val="both"/>
            </w:pPr>
            <w:r>
              <w:t>Practice in history taking</w:t>
            </w:r>
          </w:p>
        </w:tc>
        <w:tc>
          <w:tcPr>
            <w:tcW w:w="1205" w:type="dxa"/>
          </w:tcPr>
          <w:p w:rsidR="00FE7514" w:rsidRDefault="00FE7514" w:rsidP="00EB366A">
            <w:pPr>
              <w:jc w:val="both"/>
            </w:pPr>
            <w:r>
              <w:t>p value</w:t>
            </w:r>
          </w:p>
        </w:tc>
        <w:tc>
          <w:tcPr>
            <w:tcW w:w="1168" w:type="dxa"/>
          </w:tcPr>
          <w:p w:rsidR="00FE7514" w:rsidRDefault="00FE7514" w:rsidP="00EB366A">
            <w:pPr>
              <w:jc w:val="both"/>
            </w:pPr>
            <w:r>
              <w:t>Remarks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  <w:vMerge/>
            <w:vAlign w:val="center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55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129" w:type="dxa"/>
            <w:vAlign w:val="bottom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205" w:type="dxa"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1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Designation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M.O.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0.223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J.R.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S.R.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Consultant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2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Hospital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BPKIHS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0.030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sig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3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Age group of participants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20-29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0.298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30-39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40-49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50-59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4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Gender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0.741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 w:val="restart"/>
          </w:tcPr>
          <w:p w:rsidR="00FE7514" w:rsidRDefault="00FE7514" w:rsidP="00EB366A">
            <w:pPr>
              <w:jc w:val="both"/>
            </w:pPr>
            <w:r>
              <w:t>5</w:t>
            </w:r>
          </w:p>
        </w:tc>
        <w:tc>
          <w:tcPr>
            <w:tcW w:w="1346" w:type="dxa"/>
            <w:vMerge w:val="restart"/>
          </w:tcPr>
          <w:p w:rsidR="00FE7514" w:rsidRDefault="00FE7514" w:rsidP="00EB366A">
            <w:pPr>
              <w:jc w:val="both"/>
            </w:pPr>
            <w:r>
              <w:t>Place of study</w:t>
            </w: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05" w:type="dxa"/>
            <w:vMerge w:val="restart"/>
          </w:tcPr>
          <w:p w:rsidR="00FE7514" w:rsidRDefault="00FE7514" w:rsidP="00EB366A">
            <w:pPr>
              <w:jc w:val="both"/>
            </w:pPr>
            <w:r>
              <w:t>0.218</w:t>
            </w:r>
          </w:p>
        </w:tc>
        <w:tc>
          <w:tcPr>
            <w:tcW w:w="1168" w:type="dxa"/>
            <w:vMerge w:val="restart"/>
          </w:tcPr>
          <w:p w:rsidR="00FE7514" w:rsidRDefault="00FE7514" w:rsidP="00EB366A">
            <w:pPr>
              <w:jc w:val="both"/>
            </w:pPr>
            <w:r>
              <w:t>N.S.</w:t>
            </w: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  <w:tr w:rsidR="00FE7514" w:rsidTr="008305FB">
        <w:tc>
          <w:tcPr>
            <w:tcW w:w="108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279" w:type="dxa"/>
          </w:tcPr>
          <w:p w:rsidR="00FE7514" w:rsidRPr="00F41936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Asia</w:t>
            </w:r>
          </w:p>
        </w:tc>
        <w:tc>
          <w:tcPr>
            <w:tcW w:w="1208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5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</w:tcPr>
          <w:p w:rsidR="00FE7514" w:rsidRPr="00B46907" w:rsidRDefault="00FE7514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4690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05" w:type="dxa"/>
            <w:vMerge/>
          </w:tcPr>
          <w:p w:rsidR="00FE7514" w:rsidRDefault="00FE7514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FE7514" w:rsidRDefault="00FE7514" w:rsidP="00EB366A">
            <w:pPr>
              <w:jc w:val="both"/>
            </w:pPr>
          </w:p>
        </w:tc>
      </w:tr>
    </w:tbl>
    <w:p w:rsidR="00FE7514" w:rsidRDefault="007004E5" w:rsidP="00EB366A">
      <w:pPr>
        <w:jc w:val="both"/>
      </w:pPr>
      <w:r>
        <w:t xml:space="preserve"> </w:t>
      </w:r>
      <w:r w:rsidR="001A0F36">
        <w:t>While</w:t>
      </w:r>
      <w:r>
        <w:t xml:space="preserve"> assessing the practice</w:t>
      </w:r>
      <w:r w:rsidR="001A0F36">
        <w:t>, significantly higher practice of histor</w:t>
      </w:r>
      <w:r w:rsidR="008F5DD9">
        <w:t>y taking was seen in BPKIHS than</w:t>
      </w:r>
      <w:r w:rsidR="001A0F36">
        <w:t xml:space="preserve"> in other hospitals (p=0.030)</w:t>
      </w:r>
      <w:r>
        <w:t>.</w:t>
      </w:r>
      <w:r w:rsidR="008F5DD9">
        <w:t xml:space="preserve"> Designation, age of participants</w:t>
      </w:r>
      <w:r w:rsidR="00361300">
        <w:t>, gender</w:t>
      </w:r>
      <w:r w:rsidR="00572881">
        <w:t xml:space="preserve"> and place of study was n</w:t>
      </w:r>
      <w:r w:rsidR="008F5DD9">
        <w:t>ot statistically significant with practice in history taking.</w:t>
      </w:r>
    </w:p>
    <w:p w:rsidR="008305FB" w:rsidRDefault="008305FB" w:rsidP="00EB366A">
      <w:pPr>
        <w:jc w:val="both"/>
      </w:pPr>
    </w:p>
    <w:p w:rsidR="008305FB" w:rsidRDefault="008F5DD9" w:rsidP="00EB366A">
      <w:pPr>
        <w:tabs>
          <w:tab w:val="left" w:pos="1302"/>
        </w:tabs>
        <w:jc w:val="both"/>
        <w:rPr>
          <w:rFonts w:cstheme="minorHAnsi"/>
          <w:b/>
          <w:color w:val="000000" w:themeColor="text1"/>
          <w:sz w:val="32"/>
          <w:szCs w:val="32"/>
        </w:rPr>
      </w:pPr>
      <w:r w:rsidRPr="00FE7514">
        <w:rPr>
          <w:rFonts w:cstheme="minorHAnsi"/>
          <w:b/>
          <w:color w:val="000000" w:themeColor="text1"/>
          <w:sz w:val="32"/>
          <w:szCs w:val="32"/>
        </w:rPr>
        <w:t xml:space="preserve">Assessing </w:t>
      </w:r>
      <w:r>
        <w:rPr>
          <w:rFonts w:cstheme="minorHAnsi"/>
          <w:b/>
          <w:color w:val="000000" w:themeColor="text1"/>
          <w:sz w:val="32"/>
          <w:szCs w:val="32"/>
        </w:rPr>
        <w:t>the</w:t>
      </w:r>
      <w:r w:rsidR="008305FB">
        <w:rPr>
          <w:rFonts w:cstheme="minorHAnsi"/>
          <w:b/>
          <w:color w:val="000000" w:themeColor="text1"/>
          <w:sz w:val="32"/>
          <w:szCs w:val="32"/>
        </w:rPr>
        <w:t xml:space="preserve"> knowledge about risk factor</w:t>
      </w:r>
    </w:p>
    <w:p w:rsidR="008305FB" w:rsidRDefault="008305FB" w:rsidP="00EB366A">
      <w:pPr>
        <w:jc w:val="both"/>
      </w:pPr>
    </w:p>
    <w:tbl>
      <w:tblPr>
        <w:tblStyle w:val="TableGrid"/>
        <w:tblW w:w="0" w:type="auto"/>
        <w:tblLook w:val="04A0"/>
      </w:tblPr>
      <w:tblGrid>
        <w:gridCol w:w="1086"/>
        <w:gridCol w:w="1346"/>
        <w:gridCol w:w="1279"/>
        <w:gridCol w:w="1208"/>
        <w:gridCol w:w="1155"/>
        <w:gridCol w:w="1129"/>
        <w:gridCol w:w="1205"/>
        <w:gridCol w:w="1168"/>
      </w:tblGrid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S.N.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Category</w:t>
            </w:r>
          </w:p>
        </w:tc>
        <w:tc>
          <w:tcPr>
            <w:tcW w:w="1279" w:type="dxa"/>
            <w:vMerge w:val="restart"/>
          </w:tcPr>
          <w:p w:rsidR="008305FB" w:rsidRDefault="008305FB" w:rsidP="00EB366A">
            <w:pPr>
              <w:jc w:val="both"/>
            </w:pPr>
            <w:r>
              <w:t>Variable</w:t>
            </w:r>
          </w:p>
        </w:tc>
        <w:tc>
          <w:tcPr>
            <w:tcW w:w="3492" w:type="dxa"/>
            <w:gridSpan w:val="3"/>
          </w:tcPr>
          <w:p w:rsidR="008305FB" w:rsidRDefault="008305FB" w:rsidP="00EB366A">
            <w:pPr>
              <w:jc w:val="both"/>
            </w:pPr>
            <w:r>
              <w:t>Knowledge about risk factors grading</w:t>
            </w:r>
          </w:p>
        </w:tc>
        <w:tc>
          <w:tcPr>
            <w:tcW w:w="1205" w:type="dxa"/>
          </w:tcPr>
          <w:p w:rsidR="008305FB" w:rsidRDefault="008305FB" w:rsidP="00EB366A">
            <w:pPr>
              <w:jc w:val="both"/>
            </w:pPr>
            <w:r>
              <w:t>p value</w:t>
            </w:r>
          </w:p>
        </w:tc>
        <w:tc>
          <w:tcPr>
            <w:tcW w:w="1168" w:type="dxa"/>
          </w:tcPr>
          <w:p w:rsidR="008305FB" w:rsidRDefault="008305FB" w:rsidP="00EB366A">
            <w:pPr>
              <w:jc w:val="both"/>
            </w:pPr>
            <w:r>
              <w:t>Remarks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  <w:vMerge/>
            <w:vAlign w:val="center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vAlign w:val="bottom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155" w:type="dxa"/>
            <w:vAlign w:val="bottom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129" w:type="dxa"/>
            <w:vAlign w:val="bottom"/>
          </w:tcPr>
          <w:p w:rsidR="008305FB" w:rsidRPr="00F41936" w:rsidRDefault="001A0F36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="008305FB">
              <w:rPr>
                <w:rFonts w:ascii="Arial" w:hAnsi="Arial" w:cs="Arial"/>
                <w:color w:val="000000"/>
                <w:sz w:val="18"/>
                <w:szCs w:val="18"/>
              </w:rPr>
              <w:t>igh</w:t>
            </w:r>
          </w:p>
        </w:tc>
        <w:tc>
          <w:tcPr>
            <w:tcW w:w="1205" w:type="dxa"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1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Designation</w:t>
            </w: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M.O.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05" w:type="dxa"/>
            <w:vMerge w:val="restart"/>
          </w:tcPr>
          <w:p w:rsidR="008305FB" w:rsidRDefault="008305FB" w:rsidP="00EB366A">
            <w:pPr>
              <w:jc w:val="both"/>
            </w:pPr>
            <w:r>
              <w:t>0.177</w:t>
            </w:r>
          </w:p>
        </w:tc>
        <w:tc>
          <w:tcPr>
            <w:tcW w:w="1168" w:type="dxa"/>
            <w:vMerge w:val="restart"/>
          </w:tcPr>
          <w:p w:rsidR="008305FB" w:rsidRDefault="008305FB" w:rsidP="00EB366A">
            <w:pPr>
              <w:jc w:val="both"/>
            </w:pPr>
            <w:r>
              <w:t>N.S.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J.R.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S.R.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Consultant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2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Hospital</w:t>
            </w: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BPKIHS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05" w:type="dxa"/>
            <w:vMerge w:val="restart"/>
          </w:tcPr>
          <w:p w:rsidR="008305FB" w:rsidRDefault="008305FB" w:rsidP="00EB366A">
            <w:pPr>
              <w:jc w:val="both"/>
            </w:pPr>
            <w:r>
              <w:t>0.797</w:t>
            </w:r>
          </w:p>
        </w:tc>
        <w:tc>
          <w:tcPr>
            <w:tcW w:w="1168" w:type="dxa"/>
            <w:vMerge w:val="restart"/>
          </w:tcPr>
          <w:p w:rsidR="008305FB" w:rsidRDefault="008305FB" w:rsidP="00EB366A">
            <w:pPr>
              <w:jc w:val="both"/>
            </w:pPr>
            <w:r>
              <w:t>N.S.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3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Age group of participants</w:t>
            </w: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20-29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05" w:type="dxa"/>
            <w:vMerge w:val="restart"/>
          </w:tcPr>
          <w:p w:rsidR="008305FB" w:rsidRDefault="008305FB" w:rsidP="00EB366A">
            <w:pPr>
              <w:jc w:val="both"/>
            </w:pPr>
            <w:r>
              <w:t>0.001</w:t>
            </w:r>
          </w:p>
        </w:tc>
        <w:tc>
          <w:tcPr>
            <w:tcW w:w="1168" w:type="dxa"/>
            <w:vMerge w:val="restart"/>
          </w:tcPr>
          <w:p w:rsidR="008305FB" w:rsidRDefault="008305FB" w:rsidP="00EB366A">
            <w:pPr>
              <w:jc w:val="both"/>
            </w:pPr>
            <w:r>
              <w:t>sig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30-39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40-49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50-59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4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Gender</w:t>
            </w: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05" w:type="dxa"/>
            <w:vMerge w:val="restart"/>
          </w:tcPr>
          <w:p w:rsidR="008305FB" w:rsidRDefault="008305FB" w:rsidP="00EB366A">
            <w:pPr>
              <w:jc w:val="both"/>
            </w:pPr>
            <w:r>
              <w:t>0.149</w:t>
            </w:r>
          </w:p>
        </w:tc>
        <w:tc>
          <w:tcPr>
            <w:tcW w:w="1168" w:type="dxa"/>
            <w:vMerge w:val="restart"/>
          </w:tcPr>
          <w:p w:rsidR="008305FB" w:rsidRDefault="008305FB" w:rsidP="00EB366A">
            <w:pPr>
              <w:jc w:val="both"/>
            </w:pPr>
            <w:r>
              <w:t>N.S.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 w:val="restart"/>
          </w:tcPr>
          <w:p w:rsidR="008305FB" w:rsidRDefault="008305FB" w:rsidP="00EB366A">
            <w:pPr>
              <w:jc w:val="both"/>
            </w:pPr>
            <w:r>
              <w:t>5</w:t>
            </w:r>
          </w:p>
        </w:tc>
        <w:tc>
          <w:tcPr>
            <w:tcW w:w="1346" w:type="dxa"/>
            <w:vMerge w:val="restart"/>
          </w:tcPr>
          <w:p w:rsidR="008305FB" w:rsidRDefault="008305FB" w:rsidP="00EB366A">
            <w:pPr>
              <w:jc w:val="both"/>
            </w:pPr>
            <w:r>
              <w:t>Place of study</w:t>
            </w: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Nepal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05" w:type="dxa"/>
            <w:vMerge w:val="restart"/>
          </w:tcPr>
          <w:p w:rsidR="008305FB" w:rsidRDefault="008305FB" w:rsidP="00EB366A">
            <w:pPr>
              <w:jc w:val="both"/>
            </w:pPr>
            <w:r>
              <w:t>0.765</w:t>
            </w:r>
          </w:p>
        </w:tc>
        <w:tc>
          <w:tcPr>
            <w:tcW w:w="1168" w:type="dxa"/>
            <w:vMerge w:val="restart"/>
          </w:tcPr>
          <w:p w:rsidR="008305FB" w:rsidRDefault="008305FB" w:rsidP="00EB366A">
            <w:pPr>
              <w:jc w:val="both"/>
            </w:pPr>
            <w:r>
              <w:t>N.S.</w:t>
            </w: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  <w:tr w:rsidR="008305FB" w:rsidTr="008305FB">
        <w:tc>
          <w:tcPr>
            <w:tcW w:w="108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346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279" w:type="dxa"/>
          </w:tcPr>
          <w:p w:rsidR="008305FB" w:rsidRPr="00F41936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Asia</w:t>
            </w:r>
          </w:p>
        </w:tc>
        <w:tc>
          <w:tcPr>
            <w:tcW w:w="1208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5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</w:tcPr>
          <w:p w:rsidR="008305FB" w:rsidRPr="00207C65" w:rsidRDefault="008305FB" w:rsidP="00EB366A">
            <w:pPr>
              <w:autoSpaceDE w:val="0"/>
              <w:autoSpaceDN w:val="0"/>
              <w:adjustRightInd w:val="0"/>
              <w:spacing w:line="32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07C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5" w:type="dxa"/>
            <w:vMerge/>
          </w:tcPr>
          <w:p w:rsidR="008305FB" w:rsidRDefault="008305FB" w:rsidP="00EB366A">
            <w:pPr>
              <w:jc w:val="both"/>
            </w:pPr>
          </w:p>
        </w:tc>
        <w:tc>
          <w:tcPr>
            <w:tcW w:w="1168" w:type="dxa"/>
            <w:vMerge/>
          </w:tcPr>
          <w:p w:rsidR="008305FB" w:rsidRDefault="008305FB" w:rsidP="00EB366A">
            <w:pPr>
              <w:jc w:val="both"/>
            </w:pPr>
          </w:p>
        </w:tc>
      </w:tr>
    </w:tbl>
    <w:p w:rsidR="008305FB" w:rsidRDefault="008305FB" w:rsidP="00EB366A">
      <w:pPr>
        <w:jc w:val="both"/>
      </w:pPr>
    </w:p>
    <w:p w:rsidR="00FE7514" w:rsidRDefault="001A0F36" w:rsidP="00EB366A">
      <w:pPr>
        <w:jc w:val="both"/>
        <w:rPr>
          <w:rFonts w:cstheme="minorHAnsi"/>
          <w:sz w:val="24"/>
          <w:szCs w:val="24"/>
        </w:rPr>
      </w:pPr>
      <w:r>
        <w:t>While</w:t>
      </w:r>
      <w:r w:rsidR="008305FB">
        <w:t xml:space="preserve"> assessing the knowle</w:t>
      </w:r>
      <w:r w:rsidR="005539A2">
        <w:t xml:space="preserve">dge about risk factor of cancer, </w:t>
      </w:r>
      <w:r>
        <w:t>participants of 20-29 years age group were seen to have significantly higher knowledge than other age groups (p=0.001).</w:t>
      </w:r>
      <w:r w:rsidR="00572881" w:rsidRPr="00572881">
        <w:t xml:space="preserve"> </w:t>
      </w:r>
      <w:r w:rsidR="00572881">
        <w:t>Designation, hospital</w:t>
      </w:r>
      <w:r w:rsidR="00DF0908">
        <w:t>, gender</w:t>
      </w:r>
      <w:r w:rsidR="00572881">
        <w:t xml:space="preserve"> and place of study </w:t>
      </w:r>
      <w:proofErr w:type="gramStart"/>
      <w:r w:rsidR="00572881">
        <w:t>was</w:t>
      </w:r>
      <w:proofErr w:type="gramEnd"/>
      <w:r w:rsidR="00572881">
        <w:t xml:space="preserve"> not statistically significant with knowledge about risk factor of oral cancer.</w:t>
      </w:r>
    </w:p>
    <w:p w:rsidR="00FE7514" w:rsidRPr="00FE7514" w:rsidRDefault="00FE7514" w:rsidP="00EB366A">
      <w:pPr>
        <w:tabs>
          <w:tab w:val="left" w:pos="1302"/>
        </w:tabs>
        <w:jc w:val="both"/>
        <w:rPr>
          <w:rFonts w:cstheme="minorHAnsi"/>
          <w:sz w:val="24"/>
          <w:szCs w:val="24"/>
        </w:rPr>
      </w:pPr>
    </w:p>
    <w:sectPr w:rsidR="00FE7514" w:rsidRPr="00FE7514" w:rsidSect="007E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576"/>
    <w:rsid w:val="00037662"/>
    <w:rsid w:val="000620FA"/>
    <w:rsid w:val="000628EA"/>
    <w:rsid w:val="000F5727"/>
    <w:rsid w:val="00106549"/>
    <w:rsid w:val="00114F61"/>
    <w:rsid w:val="0018496A"/>
    <w:rsid w:val="001A0F36"/>
    <w:rsid w:val="001A186E"/>
    <w:rsid w:val="001A34A0"/>
    <w:rsid w:val="002B5576"/>
    <w:rsid w:val="00337255"/>
    <w:rsid w:val="003436B4"/>
    <w:rsid w:val="0034666B"/>
    <w:rsid w:val="00347B6D"/>
    <w:rsid w:val="00361300"/>
    <w:rsid w:val="00381398"/>
    <w:rsid w:val="00381907"/>
    <w:rsid w:val="003E2200"/>
    <w:rsid w:val="003E6DC4"/>
    <w:rsid w:val="00405C15"/>
    <w:rsid w:val="00470530"/>
    <w:rsid w:val="004A2094"/>
    <w:rsid w:val="004D33F5"/>
    <w:rsid w:val="00504652"/>
    <w:rsid w:val="0051565E"/>
    <w:rsid w:val="005539A2"/>
    <w:rsid w:val="00562E5A"/>
    <w:rsid w:val="00566682"/>
    <w:rsid w:val="00567732"/>
    <w:rsid w:val="00572881"/>
    <w:rsid w:val="00600B2F"/>
    <w:rsid w:val="00627047"/>
    <w:rsid w:val="00634A33"/>
    <w:rsid w:val="006414FD"/>
    <w:rsid w:val="006439DA"/>
    <w:rsid w:val="00654904"/>
    <w:rsid w:val="00691981"/>
    <w:rsid w:val="006E166B"/>
    <w:rsid w:val="007004E5"/>
    <w:rsid w:val="00796C61"/>
    <w:rsid w:val="007E0FAE"/>
    <w:rsid w:val="007E3858"/>
    <w:rsid w:val="0080653C"/>
    <w:rsid w:val="00806CCC"/>
    <w:rsid w:val="008305FB"/>
    <w:rsid w:val="008365B7"/>
    <w:rsid w:val="008523CB"/>
    <w:rsid w:val="008F5DD9"/>
    <w:rsid w:val="0091704A"/>
    <w:rsid w:val="00921E1A"/>
    <w:rsid w:val="00945047"/>
    <w:rsid w:val="00981C6D"/>
    <w:rsid w:val="009C31F5"/>
    <w:rsid w:val="009C3666"/>
    <w:rsid w:val="00A33BD8"/>
    <w:rsid w:val="00A67255"/>
    <w:rsid w:val="00A718AC"/>
    <w:rsid w:val="00B033CD"/>
    <w:rsid w:val="00B26BB7"/>
    <w:rsid w:val="00B379C8"/>
    <w:rsid w:val="00B87166"/>
    <w:rsid w:val="00B95323"/>
    <w:rsid w:val="00BA5D3F"/>
    <w:rsid w:val="00BE39C7"/>
    <w:rsid w:val="00C2178E"/>
    <w:rsid w:val="00C73001"/>
    <w:rsid w:val="00C96A34"/>
    <w:rsid w:val="00C96ABE"/>
    <w:rsid w:val="00D46FCD"/>
    <w:rsid w:val="00D52879"/>
    <w:rsid w:val="00D7257C"/>
    <w:rsid w:val="00D76D6C"/>
    <w:rsid w:val="00DB6897"/>
    <w:rsid w:val="00DC79F0"/>
    <w:rsid w:val="00DF0908"/>
    <w:rsid w:val="00DF151C"/>
    <w:rsid w:val="00E2617A"/>
    <w:rsid w:val="00E46CDC"/>
    <w:rsid w:val="00E8273D"/>
    <w:rsid w:val="00EB366A"/>
    <w:rsid w:val="00EC053E"/>
    <w:rsid w:val="00EF0AB8"/>
    <w:rsid w:val="00F04E2E"/>
    <w:rsid w:val="00F23297"/>
    <w:rsid w:val="00F24B9C"/>
    <w:rsid w:val="00F25ACD"/>
    <w:rsid w:val="00F31DC4"/>
    <w:rsid w:val="00FA5451"/>
    <w:rsid w:val="00FB7AE6"/>
    <w:rsid w:val="00FE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2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hyperlink" Target="http://jorr.org/viewimage.asp?img=JOralResRev_2015_7_1_6_160169_t4.jpg" TargetMode="Externa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oleObject" Target="Book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oleObject" Target="file:///C:\Users\user\Desktop\Book1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2.xml"/><Relationship Id="rId1" Type="http://schemas.openxmlformats.org/officeDocument/2006/relationships/oleObject" Target="file:///C:\Users\user\Desktop\Book1.xlsx" TargetMode="Externa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3.xml"/><Relationship Id="rId1" Type="http://schemas.openxmlformats.org/officeDocument/2006/relationships/oleObject" Target="file:///C:\Users\user\Desktop\analysis\Book1.xlsx" TargetMode="Externa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4.xml"/><Relationship Id="rId1" Type="http://schemas.openxmlformats.org/officeDocument/2006/relationships/oleObject" Target="file:///C:\Users\user\Desktop\Book1.xlsx" TargetMode="Externa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5.xml"/><Relationship Id="rId1" Type="http://schemas.openxmlformats.org/officeDocument/2006/relationships/oleObject" Target="file:///C:\Users\user\Desktop\Book1.xlsx" TargetMode="Externa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6.xml"/><Relationship Id="rId1" Type="http://schemas.openxmlformats.org/officeDocument/2006/relationships/oleObject" Target="file:///C:\Users\user\Desktop\Book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research\elina\dataana\diagrams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research\elina\dataana\diagrams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research\elina\dataana\diagrams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research\elina\dataana\diagrams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D:\research\elina\dataana\diagrams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D:\research\elina\dataana\diagrams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8.xml"/><Relationship Id="rId1" Type="http://schemas.openxmlformats.org/officeDocument/2006/relationships/oleObject" Target="file:///D:\research\elina\dataana\diagrams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oleObject" Target="file:///D:\research\elina\dataana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Gender of the participants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Percent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Sheet1!$E$95:$E$96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Sheet1!$F$95:$F$96</c:f>
              <c:numCache>
                <c:formatCode>General</c:formatCode>
                <c:ptCount val="2"/>
                <c:pt idx="0">
                  <c:v>145</c:v>
                </c:pt>
                <c:pt idx="1">
                  <c:v>51</c:v>
                </c:pt>
              </c:numCache>
            </c:numRef>
          </c:val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Percent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Sheet1!$E$95:$E$96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Sheet1!$G$95:$G$96</c:f>
              <c:numCache>
                <c:formatCode>General</c:formatCode>
                <c:ptCount val="2"/>
                <c:pt idx="0">
                  <c:v>74</c:v>
                </c:pt>
                <c:pt idx="1">
                  <c:v>26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b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</c:chart>
  <c:externalData r:id="rId1"/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bar"/>
        <c:grouping val="stacked"/>
        <c:ser>
          <c:idx val="0"/>
          <c:order val="0"/>
          <c:tx>
            <c:strRef>
              <c:f>Sheet1!$C$5</c:f>
              <c:strCache>
                <c:ptCount val="1"/>
                <c:pt idx="0">
                  <c:v>Strongly Agree</c:v>
                </c:pt>
              </c:strCache>
            </c:strRef>
          </c:tx>
          <c:cat>
            <c:strRef>
              <c:f>Sheet1!$B$6:$B$21</c:f>
              <c:strCache>
                <c:ptCount val="16"/>
                <c:pt idx="0">
                  <c:v>My knowledge about oral cancer is current</c:v>
                </c:pt>
                <c:pt idx="1">
                  <c:v>Oral cancer examination for those 40 yrs of age and older should be provided annually</c:v>
                </c:pt>
                <c:pt idx="2">
                  <c:v>Oral cancer examination for adult 18-39yrs of age should be provided annually</c:v>
                </c:pt>
                <c:pt idx="3">
                  <c:v>I am comfortable referring patient with suspicious oral lesions to specialist</c:v>
                </c:pt>
                <c:pt idx="4">
                  <c:v>Oral cancer examination can be discontinued after three negative exams</c:v>
                </c:pt>
                <c:pt idx="5">
                  <c:v>My patient are sufficiently knowledgable about oral cancer risk factor</c:v>
                </c:pt>
                <c:pt idx="6">
                  <c:v>My patients are sufficiently knowledgeable about oral cancer signs and symptoms</c:v>
                </c:pt>
                <c:pt idx="7">
                  <c:v>Oral cancer examination should be a separate reimbursable procedure</c:v>
                </c:pt>
                <c:pt idx="8">
                  <c:v>I am comfortable palpating lymphnode in neck of patients</c:v>
                </c:pt>
                <c:pt idx="9">
                  <c:v>The use of smokeless tobacco place a person at greatest risk for oral cancer than those who smoke cigarette</c:v>
                </c:pt>
                <c:pt idx="10">
                  <c:v>Dentist are qualified to perform oral cancer examination</c:v>
                </c:pt>
                <c:pt idx="11">
                  <c:v>Dental hygienist are qualified to perform oral cancer examination</c:v>
                </c:pt>
                <c:pt idx="12">
                  <c:v>Physician are qualified to perform oral cancer examination</c:v>
                </c:pt>
                <c:pt idx="13">
                  <c:v>Nurse practitioner are qualified to perform oral cancer examination</c:v>
                </c:pt>
                <c:pt idx="14">
                  <c:v>Early detection improves 5 yr survival rates from oral cancer</c:v>
                </c:pt>
                <c:pt idx="15">
                  <c:v>Lesion associated with smokeless tobacco generally resolve when use is discontinued</c:v>
                </c:pt>
              </c:strCache>
            </c:strRef>
          </c:cat>
          <c:val>
            <c:numRef>
              <c:f>Sheet1!$C$6:$C$21</c:f>
              <c:numCache>
                <c:formatCode>General</c:formatCode>
                <c:ptCount val="16"/>
                <c:pt idx="0">
                  <c:v>32</c:v>
                </c:pt>
                <c:pt idx="1">
                  <c:v>63</c:v>
                </c:pt>
                <c:pt idx="2">
                  <c:v>32</c:v>
                </c:pt>
                <c:pt idx="3">
                  <c:v>78</c:v>
                </c:pt>
                <c:pt idx="4">
                  <c:v>16</c:v>
                </c:pt>
                <c:pt idx="5">
                  <c:v>7</c:v>
                </c:pt>
                <c:pt idx="6">
                  <c:v>2</c:v>
                </c:pt>
                <c:pt idx="7">
                  <c:v>0</c:v>
                </c:pt>
                <c:pt idx="8">
                  <c:v>45</c:v>
                </c:pt>
                <c:pt idx="9">
                  <c:v>40</c:v>
                </c:pt>
                <c:pt idx="10">
                  <c:v>49</c:v>
                </c:pt>
                <c:pt idx="11">
                  <c:v>18</c:v>
                </c:pt>
                <c:pt idx="12">
                  <c:v>31</c:v>
                </c:pt>
                <c:pt idx="13">
                  <c:v>7</c:v>
                </c:pt>
                <c:pt idx="14">
                  <c:v>26</c:v>
                </c:pt>
                <c:pt idx="15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Agree</c:v>
                </c:pt>
              </c:strCache>
            </c:strRef>
          </c:tx>
          <c:cat>
            <c:strRef>
              <c:f>Sheet1!$B$6:$B$21</c:f>
              <c:strCache>
                <c:ptCount val="16"/>
                <c:pt idx="0">
                  <c:v>My knowledge about oral cancer is current</c:v>
                </c:pt>
                <c:pt idx="1">
                  <c:v>Oral cancer examination for those 40 yrs of age and older should be provided annually</c:v>
                </c:pt>
                <c:pt idx="2">
                  <c:v>Oral cancer examination for adult 18-39yrs of age should be provided annually</c:v>
                </c:pt>
                <c:pt idx="3">
                  <c:v>I am comfortable referring patient with suspicious oral lesions to specialist</c:v>
                </c:pt>
                <c:pt idx="4">
                  <c:v>Oral cancer examination can be discontinued after three negative exams</c:v>
                </c:pt>
                <c:pt idx="5">
                  <c:v>My patient are sufficiently knowledgable about oral cancer risk factor</c:v>
                </c:pt>
                <c:pt idx="6">
                  <c:v>My patients are sufficiently knowledgeable about oral cancer signs and symptoms</c:v>
                </c:pt>
                <c:pt idx="7">
                  <c:v>Oral cancer examination should be a separate reimbursable procedure</c:v>
                </c:pt>
                <c:pt idx="8">
                  <c:v>I am comfortable palpating lymphnode in neck of patients</c:v>
                </c:pt>
                <c:pt idx="9">
                  <c:v>The use of smokeless tobacco place a person at greatest risk for oral cancer than those who smoke cigarette</c:v>
                </c:pt>
                <c:pt idx="10">
                  <c:v>Dentist are qualified to perform oral cancer examination</c:v>
                </c:pt>
                <c:pt idx="11">
                  <c:v>Dental hygienist are qualified to perform oral cancer examination</c:v>
                </c:pt>
                <c:pt idx="12">
                  <c:v>Physician are qualified to perform oral cancer examination</c:v>
                </c:pt>
                <c:pt idx="13">
                  <c:v>Nurse practitioner are qualified to perform oral cancer examination</c:v>
                </c:pt>
                <c:pt idx="14">
                  <c:v>Early detection improves 5 yr survival rates from oral cancer</c:v>
                </c:pt>
                <c:pt idx="15">
                  <c:v>Lesion associated with smokeless tobacco generally resolve when use is discontinued</c:v>
                </c:pt>
              </c:strCache>
            </c:strRef>
          </c:cat>
          <c:val>
            <c:numRef>
              <c:f>Sheet1!$D$6:$D$21</c:f>
              <c:numCache>
                <c:formatCode>General</c:formatCode>
                <c:ptCount val="16"/>
                <c:pt idx="0">
                  <c:v>126</c:v>
                </c:pt>
                <c:pt idx="1">
                  <c:v>126</c:v>
                </c:pt>
                <c:pt idx="2">
                  <c:v>135</c:v>
                </c:pt>
                <c:pt idx="3">
                  <c:v>106</c:v>
                </c:pt>
                <c:pt idx="4">
                  <c:v>72</c:v>
                </c:pt>
                <c:pt idx="5">
                  <c:v>36</c:v>
                </c:pt>
                <c:pt idx="6">
                  <c:v>42</c:v>
                </c:pt>
                <c:pt idx="7">
                  <c:v>126</c:v>
                </c:pt>
                <c:pt idx="8">
                  <c:v>140</c:v>
                </c:pt>
                <c:pt idx="9">
                  <c:v>105</c:v>
                </c:pt>
                <c:pt idx="10">
                  <c:v>132</c:v>
                </c:pt>
                <c:pt idx="11">
                  <c:v>50</c:v>
                </c:pt>
                <c:pt idx="12">
                  <c:v>127</c:v>
                </c:pt>
                <c:pt idx="13">
                  <c:v>49</c:v>
                </c:pt>
                <c:pt idx="14">
                  <c:v>131</c:v>
                </c:pt>
                <c:pt idx="15">
                  <c:v>113</c:v>
                </c:pt>
              </c:numCache>
            </c:numRef>
          </c:val>
        </c:ser>
        <c:ser>
          <c:idx val="2"/>
          <c:order val="2"/>
          <c:tx>
            <c:strRef>
              <c:f>Sheet1!$E$5</c:f>
              <c:strCache>
                <c:ptCount val="1"/>
                <c:pt idx="0">
                  <c:v>Disagree</c:v>
                </c:pt>
              </c:strCache>
            </c:strRef>
          </c:tx>
          <c:cat>
            <c:strRef>
              <c:f>Sheet1!$B$6:$B$21</c:f>
              <c:strCache>
                <c:ptCount val="16"/>
                <c:pt idx="0">
                  <c:v>My knowledge about oral cancer is current</c:v>
                </c:pt>
                <c:pt idx="1">
                  <c:v>Oral cancer examination for those 40 yrs of age and older should be provided annually</c:v>
                </c:pt>
                <c:pt idx="2">
                  <c:v>Oral cancer examination for adult 18-39yrs of age should be provided annually</c:v>
                </c:pt>
                <c:pt idx="3">
                  <c:v>I am comfortable referring patient with suspicious oral lesions to specialist</c:v>
                </c:pt>
                <c:pt idx="4">
                  <c:v>Oral cancer examination can be discontinued after three negative exams</c:v>
                </c:pt>
                <c:pt idx="5">
                  <c:v>My patient are sufficiently knowledgable about oral cancer risk factor</c:v>
                </c:pt>
                <c:pt idx="6">
                  <c:v>My patients are sufficiently knowledgeable about oral cancer signs and symptoms</c:v>
                </c:pt>
                <c:pt idx="7">
                  <c:v>Oral cancer examination should be a separate reimbursable procedure</c:v>
                </c:pt>
                <c:pt idx="8">
                  <c:v>I am comfortable palpating lymphnode in neck of patients</c:v>
                </c:pt>
                <c:pt idx="9">
                  <c:v>The use of smokeless tobacco place a person at greatest risk for oral cancer than those who smoke cigarette</c:v>
                </c:pt>
                <c:pt idx="10">
                  <c:v>Dentist are qualified to perform oral cancer examination</c:v>
                </c:pt>
                <c:pt idx="11">
                  <c:v>Dental hygienist are qualified to perform oral cancer examination</c:v>
                </c:pt>
                <c:pt idx="12">
                  <c:v>Physician are qualified to perform oral cancer examination</c:v>
                </c:pt>
                <c:pt idx="13">
                  <c:v>Nurse practitioner are qualified to perform oral cancer examination</c:v>
                </c:pt>
                <c:pt idx="14">
                  <c:v>Early detection improves 5 yr survival rates from oral cancer</c:v>
                </c:pt>
                <c:pt idx="15">
                  <c:v>Lesion associated with smokeless tobacco generally resolve when use is discontinued</c:v>
                </c:pt>
              </c:strCache>
            </c:strRef>
          </c:cat>
          <c:val>
            <c:numRef>
              <c:f>Sheet1!$E$6:$E$21</c:f>
              <c:numCache>
                <c:formatCode>General</c:formatCode>
                <c:ptCount val="16"/>
                <c:pt idx="0">
                  <c:v>22</c:v>
                </c:pt>
                <c:pt idx="1">
                  <c:v>3</c:v>
                </c:pt>
                <c:pt idx="2">
                  <c:v>17</c:v>
                </c:pt>
                <c:pt idx="3">
                  <c:v>11</c:v>
                </c:pt>
                <c:pt idx="4">
                  <c:v>44</c:v>
                </c:pt>
                <c:pt idx="5">
                  <c:v>96</c:v>
                </c:pt>
                <c:pt idx="6">
                  <c:v>96</c:v>
                </c:pt>
                <c:pt idx="7">
                  <c:v>25</c:v>
                </c:pt>
                <c:pt idx="8">
                  <c:v>9</c:v>
                </c:pt>
                <c:pt idx="9">
                  <c:v>33</c:v>
                </c:pt>
                <c:pt idx="10">
                  <c:v>10</c:v>
                </c:pt>
                <c:pt idx="11">
                  <c:v>73</c:v>
                </c:pt>
                <c:pt idx="12">
                  <c:v>27</c:v>
                </c:pt>
                <c:pt idx="13">
                  <c:v>86</c:v>
                </c:pt>
                <c:pt idx="14">
                  <c:v>10</c:v>
                </c:pt>
                <c:pt idx="15">
                  <c:v>32</c:v>
                </c:pt>
              </c:numCache>
            </c:numRef>
          </c:val>
        </c:ser>
        <c:ser>
          <c:idx val="3"/>
          <c:order val="3"/>
          <c:tx>
            <c:strRef>
              <c:f>Sheet1!$F$5</c:f>
              <c:strCache>
                <c:ptCount val="1"/>
                <c:pt idx="0">
                  <c:v>Strongly disagree</c:v>
                </c:pt>
              </c:strCache>
            </c:strRef>
          </c:tx>
          <c:cat>
            <c:strRef>
              <c:f>Sheet1!$B$6:$B$21</c:f>
              <c:strCache>
                <c:ptCount val="16"/>
                <c:pt idx="0">
                  <c:v>My knowledge about oral cancer is current</c:v>
                </c:pt>
                <c:pt idx="1">
                  <c:v>Oral cancer examination for those 40 yrs of age and older should be provided annually</c:v>
                </c:pt>
                <c:pt idx="2">
                  <c:v>Oral cancer examination for adult 18-39yrs of age should be provided annually</c:v>
                </c:pt>
                <c:pt idx="3">
                  <c:v>I am comfortable referring patient with suspicious oral lesions to specialist</c:v>
                </c:pt>
                <c:pt idx="4">
                  <c:v>Oral cancer examination can be discontinued after three negative exams</c:v>
                </c:pt>
                <c:pt idx="5">
                  <c:v>My patient are sufficiently knowledgable about oral cancer risk factor</c:v>
                </c:pt>
                <c:pt idx="6">
                  <c:v>My patients are sufficiently knowledgeable about oral cancer signs and symptoms</c:v>
                </c:pt>
                <c:pt idx="7">
                  <c:v>Oral cancer examination should be a separate reimbursable procedure</c:v>
                </c:pt>
                <c:pt idx="8">
                  <c:v>I am comfortable palpating lymphnode in neck of patients</c:v>
                </c:pt>
                <c:pt idx="9">
                  <c:v>The use of smokeless tobacco place a person at greatest risk for oral cancer than those who smoke cigarette</c:v>
                </c:pt>
                <c:pt idx="10">
                  <c:v>Dentist are qualified to perform oral cancer examination</c:v>
                </c:pt>
                <c:pt idx="11">
                  <c:v>Dental hygienist are qualified to perform oral cancer examination</c:v>
                </c:pt>
                <c:pt idx="12">
                  <c:v>Physician are qualified to perform oral cancer examination</c:v>
                </c:pt>
                <c:pt idx="13">
                  <c:v>Nurse practitioner are qualified to perform oral cancer examination</c:v>
                </c:pt>
                <c:pt idx="14">
                  <c:v>Early detection improves 5 yr survival rates from oral cancer</c:v>
                </c:pt>
                <c:pt idx="15">
                  <c:v>Lesion associated with smokeless tobacco generally resolve when use is discontinued</c:v>
                </c:pt>
              </c:strCache>
            </c:strRef>
          </c:cat>
          <c:val>
            <c:numRef>
              <c:f>Sheet1!$F$6:$F$21</c:f>
              <c:numCache>
                <c:formatCode>General</c:formatCode>
                <c:ptCount val="16"/>
                <c:pt idx="0">
                  <c:v>4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16</c:v>
                </c:pt>
                <c:pt idx="5">
                  <c:v>37</c:v>
                </c:pt>
                <c:pt idx="6">
                  <c:v>36</c:v>
                </c:pt>
                <c:pt idx="7">
                  <c:v>30</c:v>
                </c:pt>
                <c:pt idx="8">
                  <c:v>1</c:v>
                </c:pt>
                <c:pt idx="9">
                  <c:v>5</c:v>
                </c:pt>
                <c:pt idx="10">
                  <c:v>2</c:v>
                </c:pt>
                <c:pt idx="11">
                  <c:v>43</c:v>
                </c:pt>
                <c:pt idx="12">
                  <c:v>8</c:v>
                </c:pt>
                <c:pt idx="13">
                  <c:v>38</c:v>
                </c:pt>
                <c:pt idx="14">
                  <c:v>1</c:v>
                </c:pt>
                <c:pt idx="15">
                  <c:v>6</c:v>
                </c:pt>
              </c:numCache>
            </c:numRef>
          </c:val>
        </c:ser>
        <c:ser>
          <c:idx val="4"/>
          <c:order val="4"/>
          <c:tx>
            <c:strRef>
              <c:f>Sheet1!$G$5</c:f>
              <c:strCache>
                <c:ptCount val="1"/>
                <c:pt idx="0">
                  <c:v>Don’t know</c:v>
                </c:pt>
              </c:strCache>
            </c:strRef>
          </c:tx>
          <c:cat>
            <c:strRef>
              <c:f>Sheet1!$B$6:$B$21</c:f>
              <c:strCache>
                <c:ptCount val="16"/>
                <c:pt idx="0">
                  <c:v>My knowledge about oral cancer is current</c:v>
                </c:pt>
                <c:pt idx="1">
                  <c:v>Oral cancer examination for those 40 yrs of age and older should be provided annually</c:v>
                </c:pt>
                <c:pt idx="2">
                  <c:v>Oral cancer examination for adult 18-39yrs of age should be provided annually</c:v>
                </c:pt>
                <c:pt idx="3">
                  <c:v>I am comfortable referring patient with suspicious oral lesions to specialist</c:v>
                </c:pt>
                <c:pt idx="4">
                  <c:v>Oral cancer examination can be discontinued after three negative exams</c:v>
                </c:pt>
                <c:pt idx="5">
                  <c:v>My patient are sufficiently knowledgable about oral cancer risk factor</c:v>
                </c:pt>
                <c:pt idx="6">
                  <c:v>My patients are sufficiently knowledgeable about oral cancer signs and symptoms</c:v>
                </c:pt>
                <c:pt idx="7">
                  <c:v>Oral cancer examination should be a separate reimbursable procedure</c:v>
                </c:pt>
                <c:pt idx="8">
                  <c:v>I am comfortable palpating lymphnode in neck of patients</c:v>
                </c:pt>
                <c:pt idx="9">
                  <c:v>The use of smokeless tobacco place a person at greatest risk for oral cancer than those who smoke cigarette</c:v>
                </c:pt>
                <c:pt idx="10">
                  <c:v>Dentist are qualified to perform oral cancer examination</c:v>
                </c:pt>
                <c:pt idx="11">
                  <c:v>Dental hygienist are qualified to perform oral cancer examination</c:v>
                </c:pt>
                <c:pt idx="12">
                  <c:v>Physician are qualified to perform oral cancer examination</c:v>
                </c:pt>
                <c:pt idx="13">
                  <c:v>Nurse practitioner are qualified to perform oral cancer examination</c:v>
                </c:pt>
                <c:pt idx="14">
                  <c:v>Early detection improves 5 yr survival rates from oral cancer</c:v>
                </c:pt>
                <c:pt idx="15">
                  <c:v>Lesion associated with smokeless tobacco generally resolve when use is discontinued</c:v>
                </c:pt>
              </c:strCache>
            </c:strRef>
          </c:cat>
          <c:val>
            <c:numRef>
              <c:f>Sheet1!$G$6:$G$21</c:f>
              <c:numCache>
                <c:formatCode>General</c:formatCode>
                <c:ptCount val="16"/>
                <c:pt idx="0">
                  <c:v>12</c:v>
                </c:pt>
                <c:pt idx="1">
                  <c:v>4</c:v>
                </c:pt>
                <c:pt idx="2">
                  <c:v>9</c:v>
                </c:pt>
                <c:pt idx="3">
                  <c:v>1</c:v>
                </c:pt>
                <c:pt idx="4">
                  <c:v>48</c:v>
                </c:pt>
                <c:pt idx="5">
                  <c:v>20</c:v>
                </c:pt>
                <c:pt idx="6">
                  <c:v>20</c:v>
                </c:pt>
                <c:pt idx="7">
                  <c:v>15</c:v>
                </c:pt>
                <c:pt idx="8">
                  <c:v>1</c:v>
                </c:pt>
                <c:pt idx="9">
                  <c:v>13</c:v>
                </c:pt>
                <c:pt idx="10">
                  <c:v>3</c:v>
                </c:pt>
                <c:pt idx="11">
                  <c:v>12</c:v>
                </c:pt>
                <c:pt idx="12">
                  <c:v>3</c:v>
                </c:pt>
                <c:pt idx="13">
                  <c:v>16</c:v>
                </c:pt>
                <c:pt idx="14">
                  <c:v>28</c:v>
                </c:pt>
                <c:pt idx="15">
                  <c:v>25</c:v>
                </c:pt>
              </c:numCache>
            </c:numRef>
          </c:val>
        </c:ser>
        <c:gapWidth val="75"/>
        <c:overlap val="100"/>
        <c:axId val="140915072"/>
        <c:axId val="140916608"/>
      </c:barChart>
      <c:catAx>
        <c:axId val="140915072"/>
        <c:scaling>
          <c:orientation val="minMax"/>
        </c:scaling>
        <c:axPos val="l"/>
        <c:majorTickMark val="none"/>
        <c:tickLblPos val="nextTo"/>
        <c:crossAx val="140916608"/>
        <c:crosses val="autoZero"/>
        <c:auto val="1"/>
        <c:lblAlgn val="ctr"/>
        <c:lblOffset val="100"/>
      </c:catAx>
      <c:valAx>
        <c:axId val="140916608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4091507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15821136895333082"/>
          <c:y val="0.89522434398788042"/>
          <c:w val="0.6835771079275883"/>
          <c:h val="5.7269717769839343E-2"/>
        </c:manualLayout>
      </c:layout>
    </c:legend>
    <c:plotVisOnly val="1"/>
  </c:chart>
  <c:externalData r:id="rId1"/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bar"/>
        <c:grouping val="percentStacked"/>
        <c:ser>
          <c:idx val="0"/>
          <c:order val="0"/>
          <c:tx>
            <c:strRef>
              <c:f>Sheet1!$C$67</c:f>
              <c:strCache>
                <c:ptCount val="1"/>
                <c:pt idx="0">
                  <c:v>strongly agreed</c:v>
                </c:pt>
              </c:strCache>
            </c:strRef>
          </c:tx>
          <c:cat>
            <c:strRef>
              <c:f>Sheet1!$B$68:$B$76</c:f>
              <c:strCache>
                <c:ptCount val="8"/>
                <c:pt idx="0">
                  <c:v>I am adequately trained to provide tobacco cessation education</c:v>
                </c:pt>
                <c:pt idx="1">
                  <c:v>I am adequately trained to provide alcohol cessation education</c:v>
                </c:pt>
                <c:pt idx="2">
                  <c:v>Dentist should be trained to provide tobacco cessation education</c:v>
                </c:pt>
                <c:pt idx="3">
                  <c:v>Dentist should be trained to provide alcohol cessation education</c:v>
                </c:pt>
                <c:pt idx="4">
                  <c:v>I am adequately trained to examine patients for oral cancer</c:v>
                </c:pt>
                <c:pt idx="5">
                  <c:v>most dentist are adequately trained to examine patients for oral cancer</c:v>
                </c:pt>
                <c:pt idx="6">
                  <c:v>most physician are adequately trained to examine patients for oral cancer</c:v>
                </c:pt>
                <c:pt idx="7">
                  <c:v>I am adequately trained to palpate lymph node in patients neck</c:v>
                </c:pt>
              </c:strCache>
            </c:strRef>
          </c:cat>
          <c:val>
            <c:numRef>
              <c:f>Sheet1!$C$68:$C$76</c:f>
              <c:numCache>
                <c:formatCode>General</c:formatCode>
                <c:ptCount val="9"/>
                <c:pt idx="0">
                  <c:v>20.9</c:v>
                </c:pt>
                <c:pt idx="1">
                  <c:v>14.3</c:v>
                </c:pt>
                <c:pt idx="2">
                  <c:v>29.6</c:v>
                </c:pt>
                <c:pt idx="3">
                  <c:v>27.6</c:v>
                </c:pt>
                <c:pt idx="4">
                  <c:v>10.7</c:v>
                </c:pt>
                <c:pt idx="5">
                  <c:v>15.3</c:v>
                </c:pt>
                <c:pt idx="6">
                  <c:v>12.8</c:v>
                </c:pt>
                <c:pt idx="7">
                  <c:v>27.6</c:v>
                </c:pt>
              </c:numCache>
            </c:numRef>
          </c:val>
        </c:ser>
        <c:ser>
          <c:idx val="1"/>
          <c:order val="1"/>
          <c:tx>
            <c:strRef>
              <c:f>Sheet1!$D$67</c:f>
              <c:strCache>
                <c:ptCount val="1"/>
                <c:pt idx="0">
                  <c:v>agreed</c:v>
                </c:pt>
              </c:strCache>
            </c:strRef>
          </c:tx>
          <c:cat>
            <c:strRef>
              <c:f>Sheet1!$B$68:$B$76</c:f>
              <c:strCache>
                <c:ptCount val="8"/>
                <c:pt idx="0">
                  <c:v>I am adequately trained to provide tobacco cessation education</c:v>
                </c:pt>
                <c:pt idx="1">
                  <c:v>I am adequately trained to provide alcohol cessation education</c:v>
                </c:pt>
                <c:pt idx="2">
                  <c:v>Dentist should be trained to provide tobacco cessation education</c:v>
                </c:pt>
                <c:pt idx="3">
                  <c:v>Dentist should be trained to provide alcohol cessation education</c:v>
                </c:pt>
                <c:pt idx="4">
                  <c:v>I am adequately trained to examine patients for oral cancer</c:v>
                </c:pt>
                <c:pt idx="5">
                  <c:v>most dentist are adequately trained to examine patients for oral cancer</c:v>
                </c:pt>
                <c:pt idx="6">
                  <c:v>most physician are adequately trained to examine patients for oral cancer</c:v>
                </c:pt>
                <c:pt idx="7">
                  <c:v>I am adequately trained to palpate lymph node in patients neck</c:v>
                </c:pt>
              </c:strCache>
            </c:strRef>
          </c:cat>
          <c:val>
            <c:numRef>
              <c:f>Sheet1!$D$68:$D$76</c:f>
              <c:numCache>
                <c:formatCode>General</c:formatCode>
                <c:ptCount val="9"/>
                <c:pt idx="0">
                  <c:v>57.7</c:v>
                </c:pt>
                <c:pt idx="1">
                  <c:v>70.900000000000006</c:v>
                </c:pt>
                <c:pt idx="2">
                  <c:v>66.8</c:v>
                </c:pt>
                <c:pt idx="3">
                  <c:v>66.8</c:v>
                </c:pt>
                <c:pt idx="4">
                  <c:v>56.1</c:v>
                </c:pt>
                <c:pt idx="5">
                  <c:v>65.3</c:v>
                </c:pt>
                <c:pt idx="6">
                  <c:v>58.2</c:v>
                </c:pt>
                <c:pt idx="7">
                  <c:v>65.3</c:v>
                </c:pt>
              </c:numCache>
            </c:numRef>
          </c:val>
        </c:ser>
        <c:ser>
          <c:idx val="2"/>
          <c:order val="2"/>
          <c:tx>
            <c:strRef>
              <c:f>Sheet1!$E$67</c:f>
              <c:strCache>
                <c:ptCount val="1"/>
                <c:pt idx="0">
                  <c:v>disagreed</c:v>
                </c:pt>
              </c:strCache>
            </c:strRef>
          </c:tx>
          <c:cat>
            <c:strRef>
              <c:f>Sheet1!$B$68:$B$76</c:f>
              <c:strCache>
                <c:ptCount val="8"/>
                <c:pt idx="0">
                  <c:v>I am adequately trained to provide tobacco cessation education</c:v>
                </c:pt>
                <c:pt idx="1">
                  <c:v>I am adequately trained to provide alcohol cessation education</c:v>
                </c:pt>
                <c:pt idx="2">
                  <c:v>Dentist should be trained to provide tobacco cessation education</c:v>
                </c:pt>
                <c:pt idx="3">
                  <c:v>Dentist should be trained to provide alcohol cessation education</c:v>
                </c:pt>
                <c:pt idx="4">
                  <c:v>I am adequately trained to examine patients for oral cancer</c:v>
                </c:pt>
                <c:pt idx="5">
                  <c:v>most dentist are adequately trained to examine patients for oral cancer</c:v>
                </c:pt>
                <c:pt idx="6">
                  <c:v>most physician are adequately trained to examine patients for oral cancer</c:v>
                </c:pt>
                <c:pt idx="7">
                  <c:v>I am adequately trained to palpate lymph node in patients neck</c:v>
                </c:pt>
              </c:strCache>
            </c:strRef>
          </c:cat>
          <c:val>
            <c:numRef>
              <c:f>Sheet1!$E$68:$E$76</c:f>
              <c:numCache>
                <c:formatCode>General</c:formatCode>
                <c:ptCount val="9"/>
                <c:pt idx="0">
                  <c:v>18.399999999999999</c:v>
                </c:pt>
                <c:pt idx="1">
                  <c:v>12.2</c:v>
                </c:pt>
                <c:pt idx="2">
                  <c:v>2.6</c:v>
                </c:pt>
                <c:pt idx="3">
                  <c:v>4.0999999999999996</c:v>
                </c:pt>
                <c:pt idx="4">
                  <c:v>29.6</c:v>
                </c:pt>
                <c:pt idx="5">
                  <c:v>13.3</c:v>
                </c:pt>
                <c:pt idx="6">
                  <c:v>24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Sheet1!$F$67</c:f>
              <c:strCache>
                <c:ptCount val="1"/>
                <c:pt idx="0">
                  <c:v>strongly dis agreed</c:v>
                </c:pt>
              </c:strCache>
            </c:strRef>
          </c:tx>
          <c:cat>
            <c:strRef>
              <c:f>Sheet1!$B$68:$B$76</c:f>
              <c:strCache>
                <c:ptCount val="8"/>
                <c:pt idx="0">
                  <c:v>I am adequately trained to provide tobacco cessation education</c:v>
                </c:pt>
                <c:pt idx="1">
                  <c:v>I am adequately trained to provide alcohol cessation education</c:v>
                </c:pt>
                <c:pt idx="2">
                  <c:v>Dentist should be trained to provide tobacco cessation education</c:v>
                </c:pt>
                <c:pt idx="3">
                  <c:v>Dentist should be trained to provide alcohol cessation education</c:v>
                </c:pt>
                <c:pt idx="4">
                  <c:v>I am adequately trained to examine patients for oral cancer</c:v>
                </c:pt>
                <c:pt idx="5">
                  <c:v>most dentist are adequately trained to examine patients for oral cancer</c:v>
                </c:pt>
                <c:pt idx="6">
                  <c:v>most physician are adequately trained to examine patients for oral cancer</c:v>
                </c:pt>
                <c:pt idx="7">
                  <c:v>I am adequately trained to palpate lymph node in patients neck</c:v>
                </c:pt>
              </c:strCache>
            </c:strRef>
          </c:cat>
          <c:val>
            <c:numRef>
              <c:f>Sheet1!$F$68:$F$76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Sheet1!$G$67</c:f>
              <c:strCache>
                <c:ptCount val="1"/>
                <c:pt idx="0">
                  <c:v>don’t know</c:v>
                </c:pt>
              </c:strCache>
            </c:strRef>
          </c:tx>
          <c:cat>
            <c:strRef>
              <c:f>Sheet1!$B$68:$B$76</c:f>
              <c:strCache>
                <c:ptCount val="8"/>
                <c:pt idx="0">
                  <c:v>I am adequately trained to provide tobacco cessation education</c:v>
                </c:pt>
                <c:pt idx="1">
                  <c:v>I am adequately trained to provide alcohol cessation education</c:v>
                </c:pt>
                <c:pt idx="2">
                  <c:v>Dentist should be trained to provide tobacco cessation education</c:v>
                </c:pt>
                <c:pt idx="3">
                  <c:v>Dentist should be trained to provide alcohol cessation education</c:v>
                </c:pt>
                <c:pt idx="4">
                  <c:v>I am adequately trained to examine patients for oral cancer</c:v>
                </c:pt>
                <c:pt idx="5">
                  <c:v>most dentist are adequately trained to examine patients for oral cancer</c:v>
                </c:pt>
                <c:pt idx="6">
                  <c:v>most physician are adequately trained to examine patients for oral cancer</c:v>
                </c:pt>
                <c:pt idx="7">
                  <c:v>I am adequately trained to palpate lymph node in patients neck</c:v>
                </c:pt>
              </c:strCache>
            </c:strRef>
          </c:cat>
          <c:val>
            <c:numRef>
              <c:f>Sheet1!$G$68:$G$76</c:f>
              <c:numCache>
                <c:formatCode>General</c:formatCode>
                <c:ptCount val="9"/>
                <c:pt idx="0">
                  <c:v>2</c:v>
                </c:pt>
                <c:pt idx="1">
                  <c:v>1.5</c:v>
                </c:pt>
                <c:pt idx="2">
                  <c:v>1</c:v>
                </c:pt>
                <c:pt idx="3">
                  <c:v>0.5</c:v>
                </c:pt>
                <c:pt idx="4">
                  <c:v>2.6</c:v>
                </c:pt>
                <c:pt idx="5">
                  <c:v>5.0999999999999996</c:v>
                </c:pt>
                <c:pt idx="6">
                  <c:v>4</c:v>
                </c:pt>
                <c:pt idx="7">
                  <c:v>1</c:v>
                </c:pt>
              </c:numCache>
            </c:numRef>
          </c:val>
        </c:ser>
        <c:shape val="box"/>
        <c:axId val="141329152"/>
        <c:axId val="141330688"/>
        <c:axId val="0"/>
      </c:bar3DChart>
      <c:catAx>
        <c:axId val="141329152"/>
        <c:scaling>
          <c:orientation val="minMax"/>
        </c:scaling>
        <c:axPos val="l"/>
        <c:tickLblPos val="nextTo"/>
        <c:crossAx val="141330688"/>
        <c:crosses val="autoZero"/>
        <c:auto val="1"/>
        <c:lblAlgn val="ctr"/>
        <c:lblOffset val="100"/>
      </c:catAx>
      <c:valAx>
        <c:axId val="141330688"/>
        <c:scaling>
          <c:orientation val="minMax"/>
        </c:scaling>
        <c:axPos val="b"/>
        <c:majorGridlines/>
        <c:numFmt formatCode="0%" sourceLinked="1"/>
        <c:tickLblPos val="nextTo"/>
        <c:crossAx val="141329152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accent1"/>
      </a:solidFill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>
        <c:manualLayout>
          <c:layoutTarget val="inner"/>
          <c:xMode val="edge"/>
          <c:yMode val="edge"/>
          <c:x val="9.8571741032370999E-2"/>
          <c:y val="5.1400554097404488E-2"/>
          <c:w val="0.69379228919428071"/>
          <c:h val="0.47840960474000171"/>
        </c:manualLayout>
      </c:layout>
      <c:bar3DChart>
        <c:barDir val="col"/>
        <c:grouping val="stacked"/>
        <c:ser>
          <c:idx val="0"/>
          <c:order val="0"/>
          <c:tx>
            <c:strRef>
              <c:f>Sheet1!$I$78</c:f>
              <c:strCache>
                <c:ptCount val="1"/>
                <c:pt idx="0">
                  <c:v>yes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Sheet1!$I$79:$I$85</c:f>
              <c:numCache>
                <c:formatCode>General</c:formatCode>
                <c:ptCount val="7"/>
                <c:pt idx="0">
                  <c:v>20.399999999999999</c:v>
                </c:pt>
                <c:pt idx="1">
                  <c:v>3.6</c:v>
                </c:pt>
                <c:pt idx="2">
                  <c:v>3.1</c:v>
                </c:pt>
                <c:pt idx="3">
                  <c:v>3.1</c:v>
                </c:pt>
                <c:pt idx="4">
                  <c:v>7.7</c:v>
                </c:pt>
                <c:pt idx="5">
                  <c:v>2.6</c:v>
                </c:pt>
                <c:pt idx="6">
                  <c:v>4.0999999999999996</c:v>
                </c:pt>
              </c:numCache>
            </c:numRef>
          </c:val>
        </c:ser>
        <c:ser>
          <c:idx val="1"/>
          <c:order val="1"/>
          <c:tx>
            <c:strRef>
              <c:f>Sheet1!$J$78</c:f>
              <c:strCache>
                <c:ptCount val="1"/>
                <c:pt idx="0">
                  <c:v>no 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Sheet1!$J$79:$J$85</c:f>
              <c:numCache>
                <c:formatCode>General</c:formatCode>
                <c:ptCount val="7"/>
                <c:pt idx="0">
                  <c:v>74.5</c:v>
                </c:pt>
                <c:pt idx="1">
                  <c:v>93.4</c:v>
                </c:pt>
                <c:pt idx="2">
                  <c:v>91.3</c:v>
                </c:pt>
                <c:pt idx="3">
                  <c:v>93.9</c:v>
                </c:pt>
                <c:pt idx="4">
                  <c:v>89.8</c:v>
                </c:pt>
                <c:pt idx="5">
                  <c:v>92.9</c:v>
                </c:pt>
                <c:pt idx="6">
                  <c:v>91.8</c:v>
                </c:pt>
              </c:numCache>
            </c:numRef>
          </c:val>
        </c:ser>
        <c:ser>
          <c:idx val="2"/>
          <c:order val="2"/>
          <c:tx>
            <c:strRef>
              <c:f>Sheet1!$K$78</c:f>
              <c:strCache>
                <c:ptCount val="1"/>
                <c:pt idx="0">
                  <c:v>don’t know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Sheet1!$K$79:$K$85</c:f>
              <c:numCache>
                <c:formatCode>General</c:formatCode>
                <c:ptCount val="7"/>
                <c:pt idx="0">
                  <c:v>5.0999999999999996</c:v>
                </c:pt>
                <c:pt idx="1">
                  <c:v>3.1</c:v>
                </c:pt>
                <c:pt idx="2">
                  <c:v>3.6</c:v>
                </c:pt>
                <c:pt idx="3">
                  <c:v>3.1</c:v>
                </c:pt>
                <c:pt idx="4">
                  <c:v>2.6</c:v>
                </c:pt>
                <c:pt idx="5">
                  <c:v>4.5999999999999996</c:v>
                </c:pt>
                <c:pt idx="6">
                  <c:v>4.0999999999999996</c:v>
                </c:pt>
              </c:numCache>
            </c:numRef>
          </c:val>
        </c:ser>
        <c:shape val="box"/>
        <c:axId val="142949760"/>
        <c:axId val="142959744"/>
        <c:axId val="0"/>
      </c:bar3DChart>
      <c:catAx>
        <c:axId val="142949760"/>
        <c:scaling>
          <c:orientation val="minMax"/>
        </c:scaling>
        <c:axPos val="b"/>
        <c:tickLblPos val="nextTo"/>
        <c:crossAx val="142959744"/>
        <c:crosses val="autoZero"/>
        <c:auto val="1"/>
        <c:lblAlgn val="ctr"/>
        <c:lblOffset val="100"/>
      </c:catAx>
      <c:valAx>
        <c:axId val="142959744"/>
        <c:scaling>
          <c:orientation val="minMax"/>
        </c:scaling>
        <c:axPos val="l"/>
        <c:majorGridlines/>
        <c:numFmt formatCode="General" sourceLinked="1"/>
        <c:tickLblPos val="nextTo"/>
        <c:crossAx val="14294976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>
        <c:manualLayout>
          <c:layoutTarget val="inner"/>
          <c:xMode val="edge"/>
          <c:yMode val="edge"/>
          <c:x val="9.8571741032370999E-2"/>
          <c:y val="5.1400554097404488E-2"/>
          <c:w val="0.73670201600231133"/>
          <c:h val="0.50999770413875445"/>
        </c:manualLayout>
      </c:layout>
      <c:bar3DChart>
        <c:barDir val="col"/>
        <c:grouping val="stacked"/>
        <c:ser>
          <c:idx val="0"/>
          <c:order val="0"/>
          <c:tx>
            <c:strRef>
              <c:f>Sheet1!$I$78</c:f>
              <c:strCache>
                <c:ptCount val="1"/>
                <c:pt idx="0">
                  <c:v>yes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Sheet1!$I$79:$I$85</c:f>
              <c:numCache>
                <c:formatCode>General</c:formatCode>
                <c:ptCount val="7"/>
                <c:pt idx="0">
                  <c:v>20.399999999999999</c:v>
                </c:pt>
                <c:pt idx="1">
                  <c:v>3.6</c:v>
                </c:pt>
                <c:pt idx="2">
                  <c:v>3.1</c:v>
                </c:pt>
                <c:pt idx="3">
                  <c:v>3.1</c:v>
                </c:pt>
                <c:pt idx="4">
                  <c:v>7.7</c:v>
                </c:pt>
                <c:pt idx="5">
                  <c:v>2.6</c:v>
                </c:pt>
                <c:pt idx="6">
                  <c:v>4.0999999999999996</c:v>
                </c:pt>
              </c:numCache>
            </c:numRef>
          </c:val>
        </c:ser>
        <c:ser>
          <c:idx val="1"/>
          <c:order val="1"/>
          <c:tx>
            <c:strRef>
              <c:f>Sheet1!$J$78</c:f>
              <c:strCache>
                <c:ptCount val="1"/>
                <c:pt idx="0">
                  <c:v>no 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Sheet1!$J$79:$J$85</c:f>
              <c:numCache>
                <c:formatCode>General</c:formatCode>
                <c:ptCount val="7"/>
                <c:pt idx="0">
                  <c:v>74.5</c:v>
                </c:pt>
                <c:pt idx="1">
                  <c:v>93.4</c:v>
                </c:pt>
                <c:pt idx="2">
                  <c:v>91.3</c:v>
                </c:pt>
                <c:pt idx="3">
                  <c:v>93.9</c:v>
                </c:pt>
                <c:pt idx="4">
                  <c:v>89.8</c:v>
                </c:pt>
                <c:pt idx="5">
                  <c:v>92.9</c:v>
                </c:pt>
                <c:pt idx="6">
                  <c:v>91.8</c:v>
                </c:pt>
              </c:numCache>
            </c:numRef>
          </c:val>
        </c:ser>
        <c:ser>
          <c:idx val="2"/>
          <c:order val="2"/>
          <c:tx>
            <c:strRef>
              <c:f>Sheet1!$K$78</c:f>
              <c:strCache>
                <c:ptCount val="1"/>
                <c:pt idx="0">
                  <c:v>don’t know</c:v>
                </c:pt>
              </c:strCache>
            </c:strRef>
          </c:tx>
          <c:cat>
            <c:strRef>
              <c:f>Sheet1!$H$79:$H$85</c:f>
              <c:strCache>
                <c:ptCount val="7"/>
                <c:pt idx="0">
                  <c:v>toluidine blue</c:v>
                </c:pt>
                <c:pt idx="1">
                  <c:v>viziLite plus with Tblue</c:v>
                </c:pt>
                <c:pt idx="2">
                  <c:v>microlux DL</c:v>
                </c:pt>
                <c:pt idx="3">
                  <c:v>VELscope</c:v>
                </c:pt>
                <c:pt idx="4">
                  <c:v>oral CDX brush biopsy</c:v>
                </c:pt>
                <c:pt idx="5">
                  <c:v>sapphire velscope</c:v>
                </c:pt>
                <c:pt idx="6">
                  <c:v>trimira identafi</c:v>
                </c:pt>
              </c:strCache>
            </c:strRef>
          </c:cat>
          <c:val>
            <c:numRef>
              <c:f>Sheet1!$K$79:$K$85</c:f>
              <c:numCache>
                <c:formatCode>General</c:formatCode>
                <c:ptCount val="7"/>
                <c:pt idx="0">
                  <c:v>5.0999999999999996</c:v>
                </c:pt>
                <c:pt idx="1">
                  <c:v>3.1</c:v>
                </c:pt>
                <c:pt idx="2">
                  <c:v>3.6</c:v>
                </c:pt>
                <c:pt idx="3">
                  <c:v>3.1</c:v>
                </c:pt>
                <c:pt idx="4">
                  <c:v>2.6</c:v>
                </c:pt>
                <c:pt idx="5">
                  <c:v>4.5999999999999996</c:v>
                </c:pt>
                <c:pt idx="6">
                  <c:v>4.0999999999999996</c:v>
                </c:pt>
              </c:numCache>
            </c:numRef>
          </c:val>
        </c:ser>
        <c:shape val="box"/>
        <c:axId val="149125376"/>
        <c:axId val="149147648"/>
        <c:axId val="0"/>
      </c:bar3DChart>
      <c:catAx>
        <c:axId val="149125376"/>
        <c:scaling>
          <c:orientation val="minMax"/>
        </c:scaling>
        <c:axPos val="b"/>
        <c:tickLblPos val="nextTo"/>
        <c:crossAx val="149147648"/>
        <c:crosses val="autoZero"/>
        <c:auto val="1"/>
        <c:lblAlgn val="ctr"/>
        <c:lblOffset val="100"/>
      </c:catAx>
      <c:valAx>
        <c:axId val="149147648"/>
        <c:scaling>
          <c:orientation val="minMax"/>
        </c:scaling>
        <c:axPos val="l"/>
        <c:majorGridlines/>
        <c:numFmt formatCode="General" sourceLinked="1"/>
        <c:tickLblPos val="nextTo"/>
        <c:crossAx val="149125376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rotX val="30"/>
      <c:perspective val="30"/>
    </c:view3D>
    <c:plotArea>
      <c:layout>
        <c:manualLayout>
          <c:layoutTarget val="inner"/>
          <c:xMode val="edge"/>
          <c:yMode val="edge"/>
          <c:x val="9.3055555555555738E-2"/>
          <c:y val="0.21795239136774597"/>
          <c:w val="0.71666666666666667"/>
          <c:h val="0.59688648293963187"/>
        </c:manualLayout>
      </c:layout>
      <c:pie3DChart>
        <c:varyColors val="1"/>
        <c:ser>
          <c:idx val="0"/>
          <c:order val="0"/>
          <c:dLbls>
            <c:showPercent val="1"/>
          </c:dLbls>
          <c:cat>
            <c:strRef>
              <c:f>Sheet1!$F$107:$F$108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Sheet1!$G$107:$G$108</c:f>
              <c:numCache>
                <c:formatCode>General</c:formatCode>
                <c:ptCount val="2"/>
                <c:pt idx="0">
                  <c:v>62</c:v>
                </c:pt>
                <c:pt idx="1">
                  <c:v>134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>
        <c:manualLayout>
          <c:layoutTarget val="inner"/>
          <c:xMode val="edge"/>
          <c:yMode val="edge"/>
          <c:x val="8.4488407699037621E-2"/>
          <c:y val="5.1400554097404488E-2"/>
          <c:w val="0.73415179352580984"/>
          <c:h val="0.58431321084864341"/>
        </c:manualLayout>
      </c:layout>
      <c:bar3DChart>
        <c:barDir val="col"/>
        <c:grouping val="stacked"/>
        <c:ser>
          <c:idx val="0"/>
          <c:order val="0"/>
          <c:cat>
            <c:strRef>
              <c:f>Sheet1!$F$43:$F$47</c:f>
              <c:strCache>
                <c:ptCount val="5"/>
                <c:pt idx="0">
                  <c:v>Within past year</c:v>
                </c:pt>
                <c:pt idx="1">
                  <c:v>during past 2-5 yr</c:v>
                </c:pt>
                <c:pt idx="2">
                  <c:v>&gt;5yr</c:v>
                </c:pt>
                <c:pt idx="3">
                  <c:v>Never</c:v>
                </c:pt>
                <c:pt idx="4">
                  <c:v>Don’t know</c:v>
                </c:pt>
              </c:strCache>
            </c:strRef>
          </c:cat>
          <c:val>
            <c:numRef>
              <c:f>Sheet1!$G$43:$G$47</c:f>
              <c:numCache>
                <c:formatCode>General</c:formatCode>
                <c:ptCount val="5"/>
                <c:pt idx="0">
                  <c:v>19.399999999999999</c:v>
                </c:pt>
                <c:pt idx="1">
                  <c:v>53.2</c:v>
                </c:pt>
                <c:pt idx="2">
                  <c:v>17.7</c:v>
                </c:pt>
                <c:pt idx="3">
                  <c:v>3.2</c:v>
                </c:pt>
                <c:pt idx="4">
                  <c:v>6.5</c:v>
                </c:pt>
              </c:numCache>
            </c:numRef>
          </c:val>
        </c:ser>
        <c:shape val="cylinder"/>
        <c:axId val="150578304"/>
        <c:axId val="150579840"/>
        <c:axId val="0"/>
      </c:bar3DChart>
      <c:catAx>
        <c:axId val="150578304"/>
        <c:scaling>
          <c:orientation val="minMax"/>
        </c:scaling>
        <c:axPos val="b"/>
        <c:tickLblPos val="nextTo"/>
        <c:crossAx val="150579840"/>
        <c:crosses val="autoZero"/>
        <c:auto val="1"/>
        <c:lblAlgn val="ctr"/>
        <c:lblOffset val="100"/>
      </c:catAx>
      <c:valAx>
        <c:axId val="150579840"/>
        <c:scaling>
          <c:orientation val="minMax"/>
        </c:scaling>
        <c:axPos val="l"/>
        <c:majorGridlines/>
        <c:numFmt formatCode="General" sourceLinked="1"/>
        <c:tickLblPos val="nextTo"/>
        <c:crossAx val="150578304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otX val="30"/>
      <c:perspective val="30"/>
    </c:view3D>
    <c:plotArea>
      <c:layout>
        <c:manualLayout>
          <c:layoutTarget val="inner"/>
          <c:xMode val="edge"/>
          <c:yMode val="edge"/>
          <c:x val="3.0555555555555565E-2"/>
          <c:y val="5.0925925925925923E-2"/>
          <c:w val="0.74458464566929161"/>
          <c:h val="0.85648148148148162"/>
        </c:manualLayout>
      </c:layout>
      <c:pie3DChart>
        <c:varyColors val="1"/>
        <c:ser>
          <c:idx val="0"/>
          <c:order val="0"/>
          <c:explosion val="25"/>
          <c:cat>
            <c:strRef>
              <c:f>Sheet1!$H$53:$H$55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Sheet1!$I$53:$I$55</c:f>
              <c:numCache>
                <c:formatCode>General</c:formatCode>
                <c:ptCount val="3"/>
                <c:pt idx="0">
                  <c:v>149</c:v>
                </c:pt>
                <c:pt idx="1">
                  <c:v>39</c:v>
                </c:pt>
                <c:pt idx="2">
                  <c:v>8</c:v>
                </c:pt>
              </c:numCache>
            </c:numRef>
          </c:val>
        </c:ser>
        <c:ser>
          <c:idx val="1"/>
          <c:order val="1"/>
          <c:explosion val="25"/>
          <c:cat>
            <c:strRef>
              <c:f>Sheet1!$H$53:$H$55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Sheet1!$J$53:$J$55</c:f>
              <c:numCache>
                <c:formatCode>General</c:formatCode>
                <c:ptCount val="3"/>
                <c:pt idx="0">
                  <c:v>76</c:v>
                </c:pt>
                <c:pt idx="1">
                  <c:v>19.899999999999999</c:v>
                </c:pt>
                <c:pt idx="2">
                  <c:v>4.0999999999999996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otX val="30"/>
      <c:perspective val="30"/>
    </c:view3D>
    <c:plotArea>
      <c:layout>
        <c:manualLayout>
          <c:layoutTarget val="inner"/>
          <c:xMode val="edge"/>
          <c:yMode val="edge"/>
          <c:x val="3.0555555555555565E-2"/>
          <c:y val="5.0925925925925923E-2"/>
          <c:w val="0.71273753280839935"/>
          <c:h val="0.842592592592593"/>
        </c:manualLayout>
      </c:layout>
      <c:pie3DChart>
        <c:varyColors val="1"/>
        <c:ser>
          <c:idx val="0"/>
          <c:order val="0"/>
          <c:cat>
            <c:strRef>
              <c:f>Sheet1!$P$85:$P$89</c:f>
              <c:strCache>
                <c:ptCount val="5"/>
                <c:pt idx="0">
                  <c:v>Very good</c:v>
                </c:pt>
                <c:pt idx="1">
                  <c:v>Good</c:v>
                </c:pt>
                <c:pt idx="2">
                  <c:v>poor</c:v>
                </c:pt>
                <c:pt idx="3">
                  <c:v>Very poor</c:v>
                </c:pt>
                <c:pt idx="4">
                  <c:v>Not sure</c:v>
                </c:pt>
              </c:strCache>
            </c:strRef>
          </c:cat>
          <c:val>
            <c:numRef>
              <c:f>Sheet1!$Q$85:$Q$89</c:f>
              <c:numCache>
                <c:formatCode>General</c:formatCode>
                <c:ptCount val="5"/>
                <c:pt idx="0">
                  <c:v>6</c:v>
                </c:pt>
                <c:pt idx="1">
                  <c:v>115</c:v>
                </c:pt>
                <c:pt idx="2">
                  <c:v>62</c:v>
                </c:pt>
                <c:pt idx="3">
                  <c:v>5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cat>
            <c:strRef>
              <c:f>Sheet1!$P$85:$P$89</c:f>
              <c:strCache>
                <c:ptCount val="5"/>
                <c:pt idx="0">
                  <c:v>Very good</c:v>
                </c:pt>
                <c:pt idx="1">
                  <c:v>Good</c:v>
                </c:pt>
                <c:pt idx="2">
                  <c:v>poor</c:v>
                </c:pt>
                <c:pt idx="3">
                  <c:v>Very poor</c:v>
                </c:pt>
                <c:pt idx="4">
                  <c:v>Not sure</c:v>
                </c:pt>
              </c:strCache>
            </c:strRef>
          </c:cat>
          <c:val>
            <c:numRef>
              <c:f>Sheet1!$R$85:$R$89</c:f>
              <c:numCache>
                <c:formatCode>General</c:formatCode>
                <c:ptCount val="5"/>
                <c:pt idx="0">
                  <c:v>3.1</c:v>
                </c:pt>
                <c:pt idx="1">
                  <c:v>58.7</c:v>
                </c:pt>
                <c:pt idx="2">
                  <c:v>31.6</c:v>
                </c:pt>
                <c:pt idx="3">
                  <c:v>2.6</c:v>
                </c:pt>
                <c:pt idx="4">
                  <c:v>4.0999999999999996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Age group of participants</a:t>
            </a:r>
          </a:p>
        </c:rich>
      </c:tx>
    </c:title>
    <c:plotArea>
      <c:layout>
        <c:manualLayout>
          <c:layoutTarget val="inner"/>
          <c:xMode val="edge"/>
          <c:yMode val="edge"/>
          <c:x val="9.8571741032371027E-2"/>
          <c:y val="0.19480351414406533"/>
          <c:w val="0.79587270341207361"/>
          <c:h val="0.57148877223680361"/>
        </c:manualLayout>
      </c:layout>
      <c:barChart>
        <c:barDir val="col"/>
        <c:grouping val="stacked"/>
        <c:ser>
          <c:idx val="0"/>
          <c:order val="0"/>
          <c:dLbls>
            <c:dLblPos val="ctr"/>
            <c:showVal val="1"/>
          </c:dLbls>
          <c:cat>
            <c:strRef>
              <c:f>Sheet1!$E$78:$E$81</c:f>
              <c:strCache>
                <c:ptCount val="4"/>
                <c:pt idx="0">
                  <c:v>20-29yrs</c:v>
                </c:pt>
                <c:pt idx="1">
                  <c:v>30-39 yrs</c:v>
                </c:pt>
                <c:pt idx="2">
                  <c:v>40-49 yrs</c:v>
                </c:pt>
                <c:pt idx="3">
                  <c:v>50-59 yrs</c:v>
                </c:pt>
              </c:strCache>
            </c:strRef>
          </c:cat>
          <c:val>
            <c:numRef>
              <c:f>Sheet1!$F$78:$F$81</c:f>
              <c:numCache>
                <c:formatCode>General</c:formatCode>
                <c:ptCount val="4"/>
                <c:pt idx="0">
                  <c:v>134</c:v>
                </c:pt>
                <c:pt idx="1">
                  <c:v>52</c:v>
                </c:pt>
                <c:pt idx="2">
                  <c:v>9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dLbls>
            <c:dLblPos val="ctr"/>
            <c:showVal val="1"/>
          </c:dLbls>
          <c:cat>
            <c:strRef>
              <c:f>Sheet1!$E$78:$E$81</c:f>
              <c:strCache>
                <c:ptCount val="4"/>
                <c:pt idx="0">
                  <c:v>20-29yrs</c:v>
                </c:pt>
                <c:pt idx="1">
                  <c:v>30-39 yrs</c:v>
                </c:pt>
                <c:pt idx="2">
                  <c:v>40-49 yrs</c:v>
                </c:pt>
                <c:pt idx="3">
                  <c:v>50-59 yrs</c:v>
                </c:pt>
              </c:strCache>
            </c:strRef>
          </c:cat>
          <c:val>
            <c:numRef>
              <c:f>Sheet1!$G$78:$G$81</c:f>
              <c:numCache>
                <c:formatCode>General</c:formatCode>
                <c:ptCount val="4"/>
              </c:numCache>
            </c:numRef>
          </c:val>
        </c:ser>
        <c:dLbls>
          <c:showVal val="1"/>
        </c:dLbls>
        <c:gapWidth val="55"/>
        <c:overlap val="100"/>
        <c:axId val="131864832"/>
        <c:axId val="138481664"/>
      </c:barChart>
      <c:catAx>
        <c:axId val="131864832"/>
        <c:scaling>
          <c:orientation val="minMax"/>
        </c:scaling>
        <c:axPos val="b"/>
        <c:majorTickMark val="none"/>
        <c:tickLblPos val="nextTo"/>
        <c:crossAx val="138481664"/>
        <c:crosses val="autoZero"/>
        <c:auto val="1"/>
        <c:lblAlgn val="ctr"/>
        <c:lblOffset val="100"/>
      </c:catAx>
      <c:valAx>
        <c:axId val="1384816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1864832"/>
        <c:crosses val="autoZero"/>
        <c:crossBetween val="between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Designation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Sheet1!$B$4:$B$7</c:f>
              <c:strCache>
                <c:ptCount val="4"/>
                <c:pt idx="0">
                  <c:v>M.O.</c:v>
                </c:pt>
                <c:pt idx="1">
                  <c:v>J.R.</c:v>
                </c:pt>
                <c:pt idx="2">
                  <c:v>S.R.</c:v>
                </c:pt>
                <c:pt idx="3">
                  <c:v>Consultant</c:v>
                </c:pt>
              </c:strCache>
            </c:strRef>
          </c:cat>
          <c:val>
            <c:numRef>
              <c:f>Sheet1!$C$4:$C$7</c:f>
              <c:numCache>
                <c:formatCode>General</c:formatCode>
                <c:ptCount val="4"/>
                <c:pt idx="0">
                  <c:v>93</c:v>
                </c:pt>
                <c:pt idx="1">
                  <c:v>79</c:v>
                </c:pt>
                <c:pt idx="2">
                  <c:v>11</c:v>
                </c:pt>
                <c:pt idx="3">
                  <c:v>13</c:v>
                </c:pt>
              </c:numCache>
            </c:numRef>
          </c:val>
        </c:ser>
        <c:ser>
          <c:idx val="1"/>
          <c:order val="1"/>
          <c:dLbls>
            <c:showPercent val="1"/>
          </c:dLbls>
          <c:cat>
            <c:strRef>
              <c:f>Sheet1!$B$4:$B$7</c:f>
              <c:strCache>
                <c:ptCount val="4"/>
                <c:pt idx="0">
                  <c:v>M.O.</c:v>
                </c:pt>
                <c:pt idx="1">
                  <c:v>J.R.</c:v>
                </c:pt>
                <c:pt idx="2">
                  <c:v>S.R.</c:v>
                </c:pt>
                <c:pt idx="3">
                  <c:v>Consultant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47.4</c:v>
                </c:pt>
                <c:pt idx="1">
                  <c:v>40.300000000000004</c:v>
                </c:pt>
                <c:pt idx="2">
                  <c:v>5.6</c:v>
                </c:pt>
                <c:pt idx="3">
                  <c:v>6.6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Hospital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Sheet1!$B$25:$B$26</c:f>
              <c:strCache>
                <c:ptCount val="2"/>
                <c:pt idx="0">
                  <c:v>BPKIHS</c:v>
                </c:pt>
                <c:pt idx="1">
                  <c:v>Other hospitals</c:v>
                </c:pt>
              </c:strCache>
            </c:strRef>
          </c:cat>
          <c:val>
            <c:numRef>
              <c:f>Sheet1!$C$25:$C$26</c:f>
              <c:numCache>
                <c:formatCode>General</c:formatCode>
                <c:ptCount val="2"/>
                <c:pt idx="0">
                  <c:v>131</c:v>
                </c:pt>
                <c:pt idx="1">
                  <c:v>65</c:v>
                </c:pt>
              </c:numCache>
            </c:numRef>
          </c:val>
        </c:ser>
        <c:ser>
          <c:idx val="1"/>
          <c:order val="1"/>
          <c:dLbls>
            <c:showPercent val="1"/>
          </c:dLbls>
          <c:cat>
            <c:strRef>
              <c:f>Sheet1!$B$25:$B$26</c:f>
              <c:strCache>
                <c:ptCount val="2"/>
                <c:pt idx="0">
                  <c:v>BPKIHS</c:v>
                </c:pt>
                <c:pt idx="1">
                  <c:v>Other hospitals</c:v>
                </c:pt>
              </c:strCache>
            </c:strRef>
          </c:cat>
          <c:val>
            <c:numRef>
              <c:f>Sheet1!$D$25:$D$26</c:f>
              <c:numCache>
                <c:formatCode>General</c:formatCode>
                <c:ptCount val="2"/>
                <c:pt idx="0">
                  <c:v>66.8</c:v>
                </c:pt>
                <c:pt idx="1">
                  <c:v>33.200000000000003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0"/>
        <c:txPr>
          <a:bodyPr/>
          <a:lstStyle/>
          <a:p>
            <a:pPr rtl="0">
              <a:defRPr/>
            </a:pPr>
            <a:endParaRPr lang="en-US"/>
          </a:p>
        </c:txPr>
      </c:legendEntry>
      <c:txPr>
        <a:bodyPr/>
        <a:lstStyle/>
        <a:p>
          <a:pPr rtl="0">
            <a:defRPr/>
          </a:pPr>
          <a:endParaRPr lang="en-US"/>
        </a:p>
      </c:txPr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Country of primary medical education</a:t>
            </a:r>
          </a:p>
        </c:rich>
      </c:tx>
    </c:title>
    <c:plotArea>
      <c:layout>
        <c:manualLayout>
          <c:layoutTarget val="inner"/>
          <c:xMode val="edge"/>
          <c:yMode val="edge"/>
          <c:x val="0.2901930159964573"/>
          <c:y val="0.30805610373441517"/>
          <c:w val="0.3400531415054599"/>
          <c:h val="0.48607581100021408"/>
        </c:manualLayout>
      </c:layout>
      <c:pieChart>
        <c:varyColors val="1"/>
        <c:ser>
          <c:idx val="0"/>
          <c:order val="0"/>
          <c:dLbls>
            <c:showPercent val="1"/>
          </c:dLbls>
          <c:cat>
            <c:strRef>
              <c:f>Sheet1!$C$111:$C$113</c:f>
              <c:strCache>
                <c:ptCount val="3"/>
                <c:pt idx="0">
                  <c:v>Nepal</c:v>
                </c:pt>
                <c:pt idx="1">
                  <c:v>India</c:v>
                </c:pt>
                <c:pt idx="2">
                  <c:v>Southeast Asia</c:v>
                </c:pt>
              </c:strCache>
            </c:strRef>
          </c:cat>
          <c:val>
            <c:numRef>
              <c:f>Sheet1!$D$111:$D$113</c:f>
              <c:numCache>
                <c:formatCode>General</c:formatCode>
                <c:ptCount val="3"/>
                <c:pt idx="0">
                  <c:v>169</c:v>
                </c:pt>
                <c:pt idx="1">
                  <c:v>16</c:v>
                </c:pt>
                <c:pt idx="2">
                  <c:v>11</c:v>
                </c:pt>
              </c:numCache>
            </c:numRef>
          </c:val>
        </c:ser>
        <c:ser>
          <c:idx val="1"/>
          <c:order val="1"/>
          <c:dLbls>
            <c:showPercent val="1"/>
          </c:dLbls>
          <c:cat>
            <c:strRef>
              <c:f>Sheet1!$C$111:$C$113</c:f>
              <c:strCache>
                <c:ptCount val="3"/>
                <c:pt idx="0">
                  <c:v>Nepal</c:v>
                </c:pt>
                <c:pt idx="1">
                  <c:v>India</c:v>
                </c:pt>
                <c:pt idx="2">
                  <c:v>Southeast Asia</c:v>
                </c:pt>
              </c:strCache>
            </c:strRef>
          </c:cat>
          <c:val>
            <c:numRef>
              <c:f>Sheet1!$E$111:$E$113</c:f>
              <c:numCache>
                <c:formatCode>General</c:formatCode>
                <c:ptCount val="3"/>
                <c:pt idx="0">
                  <c:v>86.2</c:v>
                </c:pt>
                <c:pt idx="1">
                  <c:v>8.2000000000000011</c:v>
                </c:pt>
                <c:pt idx="2">
                  <c:v>5.6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49898167714355179"/>
          <c:y val="0.123097907695011"/>
          <c:w val="0.45895734138828731"/>
          <c:h val="0.76462142157165036"/>
        </c:manualLayout>
      </c:layout>
      <c:barChart>
        <c:barDir val="bar"/>
        <c:grouping val="clustered"/>
        <c:ser>
          <c:idx val="0"/>
          <c:order val="0"/>
          <c:dLbls>
            <c:showVal val="1"/>
          </c:dLbls>
          <c:cat>
            <c:strRef>
              <c:f>Sheet1!$C$137:$C$149</c:f>
              <c:strCache>
                <c:ptCount val="13"/>
                <c:pt idx="0">
                  <c:v>Symptom most commonly expressed by a patient with an early oral cancer</c:v>
                </c:pt>
                <c:pt idx="1">
                  <c:v>most likely to be associated with oral cancer (second)</c:v>
                </c:pt>
                <c:pt idx="2">
                  <c:v>lip cancer</c:v>
                </c:pt>
                <c:pt idx="3">
                  <c:v>factors least likely to be associated with oral cancer</c:v>
                </c:pt>
                <c:pt idx="4">
                  <c:v>most likely to be associated with oral cancer (first)</c:v>
                </c:pt>
                <c:pt idx="5">
                  <c:v>Area of tongue most likely to develop oral cancer</c:v>
                </c:pt>
                <c:pt idx="6">
                  <c:v>most common site of oral cancer excluding lip</c:v>
                </c:pt>
                <c:pt idx="7">
                  <c:v>most common age group of oral cancer</c:v>
                </c:pt>
                <c:pt idx="8">
                  <c:v>stage in which oral cancer are diagnosed often</c:v>
                </c:pt>
                <c:pt idx="9">
                  <c:v>early oral cancer lesion appear as</c:v>
                </c:pt>
                <c:pt idx="10">
                  <c:v>examination of tongue for oral cancer</c:v>
                </c:pt>
                <c:pt idx="11">
                  <c:v>Characteristic of lymph node in oral cancer</c:v>
                </c:pt>
                <c:pt idx="12">
                  <c:v>common form of oral cancer</c:v>
                </c:pt>
              </c:strCache>
            </c:strRef>
          </c:cat>
          <c:val>
            <c:numRef>
              <c:f>Sheet1!$D$137:$D$149</c:f>
              <c:numCache>
                <c:formatCode>General</c:formatCode>
                <c:ptCount val="13"/>
                <c:pt idx="0">
                  <c:v>28</c:v>
                </c:pt>
                <c:pt idx="1">
                  <c:v>60</c:v>
                </c:pt>
                <c:pt idx="2">
                  <c:v>63</c:v>
                </c:pt>
                <c:pt idx="3">
                  <c:v>65</c:v>
                </c:pt>
                <c:pt idx="4">
                  <c:v>65</c:v>
                </c:pt>
                <c:pt idx="5">
                  <c:v>70</c:v>
                </c:pt>
                <c:pt idx="6">
                  <c:v>74</c:v>
                </c:pt>
                <c:pt idx="7">
                  <c:v>76</c:v>
                </c:pt>
                <c:pt idx="8">
                  <c:v>86</c:v>
                </c:pt>
                <c:pt idx="9">
                  <c:v>98</c:v>
                </c:pt>
                <c:pt idx="10">
                  <c:v>99</c:v>
                </c:pt>
                <c:pt idx="11">
                  <c:v>138</c:v>
                </c:pt>
                <c:pt idx="12">
                  <c:v>163</c:v>
                </c:pt>
              </c:numCache>
            </c:numRef>
          </c:val>
        </c:ser>
        <c:ser>
          <c:idx val="1"/>
          <c:order val="1"/>
          <c:tx>
            <c:v>Number of participants</c:v>
          </c:tx>
          <c:dLbls>
            <c:delete val="1"/>
          </c:dLbls>
          <c:val>
            <c:numLit>
              <c:formatCode>General</c:formatCode>
              <c:ptCount val="1"/>
              <c:pt idx="0">
                <c:v>1</c:v>
              </c:pt>
            </c:numLit>
          </c:val>
        </c:ser>
        <c:dLbls>
          <c:showVal val="1"/>
        </c:dLbls>
        <c:overlap val="-25"/>
        <c:axId val="140065024"/>
        <c:axId val="140070912"/>
      </c:barChart>
      <c:catAx>
        <c:axId val="140065024"/>
        <c:scaling>
          <c:orientation val="minMax"/>
        </c:scaling>
        <c:axPos val="l"/>
        <c:majorTickMark val="none"/>
        <c:tickLblPos val="nextTo"/>
        <c:crossAx val="140070912"/>
        <c:crosses val="autoZero"/>
        <c:auto val="1"/>
        <c:lblAlgn val="ctr"/>
        <c:lblOffset val="100"/>
      </c:catAx>
      <c:valAx>
        <c:axId val="140070912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140065024"/>
        <c:crosses val="autoZero"/>
        <c:crossBetween val="between"/>
      </c:valAx>
    </c:plotArea>
    <c:legend>
      <c:legendPos val="t"/>
      <c:legendEntry>
        <c:idx val="1"/>
        <c:delete val="1"/>
      </c:legendEntry>
    </c:legend>
    <c:plotVisOnly val="1"/>
  </c:chart>
  <c:externalData r:id="rId1"/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2619001923590917"/>
          <c:y val="4.4723140725234117E-2"/>
          <c:w val="0.80035422116475841"/>
          <c:h val="0.4202843526734385"/>
        </c:manualLayout>
      </c:layout>
      <c:barChart>
        <c:barDir val="col"/>
        <c:grouping val="clustered"/>
        <c:ser>
          <c:idx val="0"/>
          <c:order val="0"/>
          <c:cat>
            <c:strRef>
              <c:f>Sheet1!$C$162:$C$174</c:f>
              <c:strCache>
                <c:ptCount val="13"/>
                <c:pt idx="0">
                  <c:v>Old age</c:v>
                </c:pt>
                <c:pt idx="1">
                  <c:v>Use of alcohol</c:v>
                </c:pt>
                <c:pt idx="2">
                  <c:v>Use of tobacco</c:v>
                </c:pt>
                <c:pt idx="3">
                  <c:v>Family history of oral cancer</c:v>
                </c:pt>
                <c:pt idx="4">
                  <c:v>Low consumption of fruit and vegetable</c:v>
                </c:pt>
                <c:pt idx="5">
                  <c:v>Prior oral cancer lesion</c:v>
                </c:pt>
                <c:pt idx="6">
                  <c:v>Poor fitting denture</c:v>
                </c:pt>
                <c:pt idx="7">
                  <c:v>Poor oral hygiene</c:v>
                </c:pt>
                <c:pt idx="8">
                  <c:v>Use of spicy food</c:v>
                </c:pt>
                <c:pt idx="9">
                  <c:v>HPV</c:v>
                </c:pt>
                <c:pt idx="11">
                  <c:v>Hot beverage and food</c:v>
                </c:pt>
                <c:pt idx="12">
                  <c:v>Obesity</c:v>
                </c:pt>
              </c:strCache>
            </c:strRef>
          </c:cat>
          <c:val>
            <c:numRef>
              <c:f>Sheet1!$D$162:$D$174</c:f>
              <c:numCache>
                <c:formatCode>General</c:formatCode>
                <c:ptCount val="13"/>
                <c:pt idx="0">
                  <c:v>93.4</c:v>
                </c:pt>
                <c:pt idx="1">
                  <c:v>84.7</c:v>
                </c:pt>
                <c:pt idx="2">
                  <c:v>96.4</c:v>
                </c:pt>
                <c:pt idx="3">
                  <c:v>88.8</c:v>
                </c:pt>
                <c:pt idx="4">
                  <c:v>55.1</c:v>
                </c:pt>
                <c:pt idx="5">
                  <c:v>92.3</c:v>
                </c:pt>
                <c:pt idx="6">
                  <c:v>65.3</c:v>
                </c:pt>
                <c:pt idx="7">
                  <c:v>67.900000000000006</c:v>
                </c:pt>
                <c:pt idx="8">
                  <c:v>52</c:v>
                </c:pt>
                <c:pt idx="9">
                  <c:v>71</c:v>
                </c:pt>
                <c:pt idx="11">
                  <c:v>33</c:v>
                </c:pt>
                <c:pt idx="12">
                  <c:v>30</c:v>
                </c:pt>
              </c:numCache>
            </c:numRef>
          </c:val>
        </c:ser>
        <c:axId val="140078464"/>
        <c:axId val="140096640"/>
      </c:barChart>
      <c:catAx>
        <c:axId val="140078464"/>
        <c:scaling>
          <c:orientation val="minMax"/>
        </c:scaling>
        <c:axPos val="b"/>
        <c:tickLblPos val="nextTo"/>
        <c:crossAx val="140096640"/>
        <c:crosses val="autoZero"/>
        <c:auto val="1"/>
        <c:lblAlgn val="ctr"/>
        <c:lblOffset val="100"/>
      </c:catAx>
      <c:valAx>
        <c:axId val="140096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</c:title>
        <c:numFmt formatCode="General" sourceLinked="1"/>
        <c:tickLblPos val="nextTo"/>
        <c:crossAx val="140078464"/>
        <c:crosses val="autoZero"/>
        <c:crossBetween val="between"/>
      </c:valAx>
    </c:plotArea>
    <c:plotVisOnly val="1"/>
  </c:chart>
  <c:externalData r:id="rId1"/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Sheet1!$F$197</c:f>
              <c:strCache>
                <c:ptCount val="1"/>
                <c:pt idx="0">
                  <c:v>Initial appointment</c:v>
                </c:pt>
              </c:strCache>
            </c:strRef>
          </c:tx>
          <c:cat>
            <c:strRef>
              <c:f>Sheet1!$E$198:$E$200</c:f>
              <c:strCache>
                <c:ptCount val="3"/>
                <c:pt idx="0">
                  <c:v>0%</c:v>
                </c:pt>
                <c:pt idx="1">
                  <c:v>1%-20%</c:v>
                </c:pt>
                <c:pt idx="2">
                  <c:v>&gt;20%</c:v>
                </c:pt>
              </c:strCache>
            </c:strRef>
          </c:cat>
          <c:val>
            <c:numRef>
              <c:f>Sheet1!$F$198:$F$200</c:f>
              <c:numCache>
                <c:formatCode>General</c:formatCode>
                <c:ptCount val="3"/>
                <c:pt idx="0">
                  <c:v>69.900000000000006</c:v>
                </c:pt>
                <c:pt idx="1">
                  <c:v>23</c:v>
                </c:pt>
                <c:pt idx="2">
                  <c:v>7.1</c:v>
                </c:pt>
              </c:numCache>
            </c:numRef>
          </c:val>
        </c:ser>
        <c:ser>
          <c:idx val="1"/>
          <c:order val="1"/>
          <c:tx>
            <c:strRef>
              <c:f>Sheet1!$G$197</c:f>
              <c:strCache>
                <c:ptCount val="1"/>
                <c:pt idx="0">
                  <c:v>Recall Appointment</c:v>
                </c:pt>
              </c:strCache>
            </c:strRef>
          </c:tx>
          <c:cat>
            <c:strRef>
              <c:f>Sheet1!$E$198:$E$200</c:f>
              <c:strCache>
                <c:ptCount val="3"/>
                <c:pt idx="0">
                  <c:v>0%</c:v>
                </c:pt>
                <c:pt idx="1">
                  <c:v>1%-20%</c:v>
                </c:pt>
                <c:pt idx="2">
                  <c:v>&gt;20%</c:v>
                </c:pt>
              </c:strCache>
            </c:strRef>
          </c:cat>
          <c:val>
            <c:numRef>
              <c:f>Sheet1!$G$198:$G$200</c:f>
              <c:numCache>
                <c:formatCode>General</c:formatCode>
                <c:ptCount val="3"/>
                <c:pt idx="0">
                  <c:v>65.3</c:v>
                </c:pt>
                <c:pt idx="1">
                  <c:v>29.1</c:v>
                </c:pt>
                <c:pt idx="2">
                  <c:v>5.6</c:v>
                </c:pt>
              </c:numCache>
            </c:numRef>
          </c:val>
        </c:ser>
        <c:axId val="140671232"/>
        <c:axId val="140681600"/>
      </c:barChart>
      <c:catAx>
        <c:axId val="140671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Percentage of patients undergone oral examination for screening of oral cancer</a:t>
                </a:r>
              </a:p>
            </c:rich>
          </c:tx>
        </c:title>
        <c:tickLblPos val="nextTo"/>
        <c:crossAx val="140681600"/>
        <c:crosses val="autoZero"/>
        <c:auto val="1"/>
        <c:lblAlgn val="ctr"/>
        <c:lblOffset val="100"/>
      </c:catAx>
      <c:valAx>
        <c:axId val="1406816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Distribution of participants</a:t>
                </a:r>
              </a:p>
            </c:rich>
          </c:tx>
        </c:title>
        <c:numFmt formatCode="General" sourceLinked="1"/>
        <c:tickLblPos val="nextTo"/>
        <c:crossAx val="140671232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1"/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8.4488407699037621E-2"/>
          <c:y val="5.1400554097404488E-2"/>
          <c:w val="0.56190179352581215"/>
          <c:h val="0.61303988043161273"/>
        </c:manualLayout>
      </c:layout>
      <c:barChart>
        <c:barDir val="col"/>
        <c:grouping val="clustered"/>
        <c:ser>
          <c:idx val="0"/>
          <c:order val="0"/>
          <c:tx>
            <c:strRef>
              <c:f>Sheet1!$F$203</c:f>
              <c:strCache>
                <c:ptCount val="1"/>
                <c:pt idx="0">
                  <c:v>Initial appointment</c:v>
                </c:pt>
              </c:strCache>
            </c:strRef>
          </c:tx>
          <c:cat>
            <c:strRef>
              <c:f>Sheet1!$E$204:$E$206</c:f>
              <c:strCache>
                <c:ptCount val="3"/>
                <c:pt idx="0">
                  <c:v>0%</c:v>
                </c:pt>
                <c:pt idx="1">
                  <c:v>1%-20%</c:v>
                </c:pt>
                <c:pt idx="2">
                  <c:v>&gt;20%</c:v>
                </c:pt>
              </c:strCache>
            </c:strRef>
          </c:cat>
          <c:val>
            <c:numRef>
              <c:f>Sheet1!$F$204:$F$206</c:f>
              <c:numCache>
                <c:formatCode>General</c:formatCode>
                <c:ptCount val="3"/>
                <c:pt idx="0">
                  <c:v>45.9</c:v>
                </c:pt>
                <c:pt idx="1">
                  <c:v>39.300000000000004</c:v>
                </c:pt>
                <c:pt idx="2">
                  <c:v>14.8</c:v>
                </c:pt>
              </c:numCache>
            </c:numRef>
          </c:val>
        </c:ser>
        <c:ser>
          <c:idx val="1"/>
          <c:order val="1"/>
          <c:tx>
            <c:strRef>
              <c:f>Sheet1!$G$203</c:f>
              <c:strCache>
                <c:ptCount val="1"/>
                <c:pt idx="0">
                  <c:v>Recall Appointment</c:v>
                </c:pt>
              </c:strCache>
            </c:strRef>
          </c:tx>
          <c:cat>
            <c:strRef>
              <c:f>Sheet1!$E$204:$E$206</c:f>
              <c:strCache>
                <c:ptCount val="3"/>
                <c:pt idx="0">
                  <c:v>0%</c:v>
                </c:pt>
                <c:pt idx="1">
                  <c:v>1%-20%</c:v>
                </c:pt>
                <c:pt idx="2">
                  <c:v>&gt;20%</c:v>
                </c:pt>
              </c:strCache>
            </c:strRef>
          </c:cat>
          <c:val>
            <c:numRef>
              <c:f>Sheet1!$G$204:$G$206</c:f>
              <c:numCache>
                <c:formatCode>General</c:formatCode>
                <c:ptCount val="3"/>
                <c:pt idx="0">
                  <c:v>45.4</c:v>
                </c:pt>
                <c:pt idx="1">
                  <c:v>42.3</c:v>
                </c:pt>
                <c:pt idx="2">
                  <c:v>12.2</c:v>
                </c:pt>
              </c:numCache>
            </c:numRef>
          </c:val>
        </c:ser>
        <c:axId val="140750208"/>
        <c:axId val="140867072"/>
      </c:barChart>
      <c:catAx>
        <c:axId val="140750208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/>
                  <a:t>Percentage of patients undergone oral examination for screening of oral cancer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900"/>
              </a:p>
            </c:rich>
          </c:tx>
        </c:title>
        <c:tickLblPos val="nextTo"/>
        <c:crossAx val="140867072"/>
        <c:crosses val="autoZero"/>
        <c:auto val="1"/>
        <c:lblAlgn val="ctr"/>
        <c:lblOffset val="100"/>
      </c:catAx>
      <c:valAx>
        <c:axId val="140867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Distribution of participants </a:t>
                </a:r>
                <a:endParaRPr lang="en-US"/>
              </a:p>
            </c:rich>
          </c:tx>
        </c:title>
        <c:numFmt formatCode="General" sourceLinked="1"/>
        <c:tickLblPos val="nextTo"/>
        <c:crossAx val="14075020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0.00417</cdr:x>
      <cdr:y>0.91667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050" y="2552700"/>
          <a:ext cx="45529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fig1:diagram showing distribution of participants according to gender</a:t>
          </a:r>
          <a:endParaRPr lang="en-US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1.54166E-7</cdr:x>
      <cdr:y>0.95012</cdr:y>
    </cdr:from>
    <cdr:to>
      <cdr:x>0.98678</cdr:x>
      <cdr:y>0.99525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" y="3810001"/>
          <a:ext cx="6400800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 10: bardiagram showing opinion of participants</a:t>
          </a:r>
          <a:r>
            <a:rPr lang="en-US" sz="1100" baseline="0"/>
            <a:t> in oral cancer</a:t>
          </a:r>
          <a:endParaRPr lang="en-US" sz="1100"/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0.01076</cdr:x>
      <cdr:y>0.89377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1288" y="2451798"/>
          <a:ext cx="4522805" cy="2914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latin typeface="+mn-lt"/>
              <a:ea typeface="+mn-ea"/>
              <a:cs typeface="+mn-cs"/>
            </a:rPr>
            <a:t>fig 12.percentage of medical practitioner heard of different diagnosis aids.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</cdr:x>
      <cdr:y>0.87912</cdr:y>
    </cdr:from>
    <cdr:to>
      <cdr:x>1</cdr:x>
      <cdr:y>0.99863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2411604"/>
          <a:ext cx="4572000" cy="3278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latin typeface="+mn-lt"/>
              <a:ea typeface="+mn-ea"/>
              <a:cs typeface="+mn-cs"/>
            </a:rPr>
            <a:t>fig 13. Percentage of medical practitioner using different type of diagnosis aids.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0.00417</cdr:x>
      <cdr:y>0.85209</cdr:y>
    </cdr:from>
    <cdr:to>
      <cdr:x>0.99583</cdr:x>
      <cdr:y>0.98958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042" y="2524126"/>
          <a:ext cx="4770041" cy="4072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latin typeface="+mn-lt"/>
              <a:ea typeface="+mn-ea"/>
              <a:cs typeface="+mn-cs"/>
            </a:rPr>
            <a:t>fig 14. Piechart showing percentage of medical practitioner who had attended educational course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</cdr:x>
      <cdr:y>0.86081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2361363"/>
          <a:ext cx="4574093" cy="3818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 15: Bardiagram showing time when</a:t>
          </a:r>
          <a:r>
            <a:rPr lang="en-US" sz="1100" baseline="0"/>
            <a:t> the participants had attended the course</a:t>
          </a:r>
          <a:endParaRPr lang="en-US" sz="1100"/>
        </a:p>
      </cdr:txBody>
    </cdr:sp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</cdr:x>
      <cdr:y>0.86813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2381459"/>
          <a:ext cx="4574093" cy="3617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latin typeface="+mn-lt"/>
              <a:ea typeface="+mn-ea"/>
              <a:cs typeface="+mn-cs"/>
            </a:rPr>
            <a:t>fig. 16. Piechart showing interest in attending continuing educational course.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</cdr:x>
      <cdr:y>0.9011</cdr:y>
    </cdr:from>
    <cdr:to>
      <cdr:x>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2471895"/>
          <a:ext cx="4574093" cy="2713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>
              <a:latin typeface="+mn-lt"/>
              <a:ea typeface="+mn-ea"/>
              <a:cs typeface="+mn-cs"/>
            </a:rPr>
            <a:t>fig. 17. Pie chart showing rating of under graguate training regarding oral cancer examination.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0.00208</cdr:x>
      <cdr:y>0.87847</cdr:y>
    </cdr:from>
    <cdr:to>
      <cdr:x>0.92083</cdr:x>
      <cdr:y>0.96875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525" y="2409825"/>
          <a:ext cx="4200525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fig2: Bardiagram showing age distribution of the participants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0.89236</cdr:y>
    </cdr:from>
    <cdr:to>
      <cdr:x>0.99792</cdr:x>
      <cdr:y>0.99653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2447925"/>
          <a:ext cx="456247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fig3: Pie-chart representing designation of the participants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0.00208</cdr:x>
      <cdr:y>0.90278</cdr:y>
    </cdr:from>
    <cdr:to>
      <cdr:x>0.96458</cdr:x>
      <cdr:y>0.97569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525" y="2476500"/>
          <a:ext cx="4400550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 4: Pie-chart representing work place of the participants 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0.00417</cdr:x>
      <cdr:y>0.86176</cdr:y>
    </cdr:from>
    <cdr:to>
      <cdr:x>0.99583</cdr:x>
      <cdr:y>0.99306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288" y="2790826"/>
          <a:ext cx="4590574" cy="4251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 5: Pie-chart representing country of attaining primary medical education by the participants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</cdr:x>
      <cdr:y>0.91316</cdr:y>
    </cdr:from>
    <cdr:to>
      <cdr:x>1</cdr:x>
      <cdr:y>0.98947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0" y="3305176"/>
          <a:ext cx="603885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fig6: knowledge of medical practitioner about oral cancer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0.29883</cdr:x>
      <cdr:y>0.81269</cdr:y>
    </cdr:from>
    <cdr:to>
      <cdr:x>0.57596</cdr:x>
      <cdr:y>0.87009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704976" y="2562226"/>
          <a:ext cx="1581150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Real risk factor</a:t>
          </a:r>
        </a:p>
      </cdr:txBody>
    </cdr:sp>
  </cdr:relSizeAnchor>
  <cdr:relSizeAnchor xmlns:cdr="http://schemas.openxmlformats.org/drawingml/2006/chartDrawing">
    <cdr:from>
      <cdr:x>0.70952</cdr:x>
      <cdr:y>0.82175</cdr:y>
    </cdr:from>
    <cdr:to>
      <cdr:x>0.98331</cdr:x>
      <cdr:y>0.89124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048126" y="2590801"/>
          <a:ext cx="1562100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Nonreal risk factor</a:t>
          </a:r>
        </a:p>
      </cdr:txBody>
    </cdr:sp>
  </cdr:relSizeAnchor>
  <cdr:relSizeAnchor xmlns:cdr="http://schemas.openxmlformats.org/drawingml/2006/chartDrawing">
    <cdr:from>
      <cdr:x>1.7527E-7</cdr:x>
      <cdr:y>0.90634</cdr:y>
    </cdr:from>
    <cdr:to>
      <cdr:x>0.98664</cdr:x>
      <cdr:y>0.99094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" y="2857501"/>
          <a:ext cx="562927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 7: percentage of participants providing correct response on oral cancer risk factors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0.00208</cdr:x>
      <cdr:y>0.8961</cdr:y>
    </cdr:from>
    <cdr:to>
      <cdr:x>1</cdr:x>
      <cdr:y>0.99306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1491" y="1971675"/>
          <a:ext cx="5513009" cy="2133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</a:t>
          </a:r>
          <a:r>
            <a:rPr lang="en-US" sz="1100" baseline="0"/>
            <a:t> 8: Distribution of medical practitioners providing oral cancer examination in 18-39 yrs age group</a:t>
          </a:r>
          <a:endParaRPr lang="en-US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0.00208</cdr:x>
      <cdr:y>0.87153</cdr:y>
    </cdr:from>
    <cdr:to>
      <cdr:x>1</cdr:x>
      <cdr:y>0.99306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525" y="2390775"/>
          <a:ext cx="4562475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fig</a:t>
          </a:r>
          <a:r>
            <a:rPr lang="en-US" sz="1100" baseline="0"/>
            <a:t> 9: Distribution of medical practitioners providing oral cancer examination in 40 yrs and above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16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</dc:creator>
  <cp:keywords/>
  <dc:description/>
  <cp:lastModifiedBy>user</cp:lastModifiedBy>
  <cp:revision>79</cp:revision>
  <dcterms:created xsi:type="dcterms:W3CDTF">2017-04-10T14:35:00Z</dcterms:created>
  <dcterms:modified xsi:type="dcterms:W3CDTF">2017-04-16T15:46:00Z</dcterms:modified>
</cp:coreProperties>
</file>