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widowControl/>
        <w:spacing w:lineRule="auto" w:line="271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3. Paper Summary: Problem Statement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>The authors address the challenge of embodied reasoning where a robotic agent must locate specific objects within large, unexplored, and human-centric environments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</w:t>
      </w:r>
      <w:r>
        <w:rPr>
          <w:rFonts w:ascii="Google Sans Text;sans-serif" w:hAnsi="Google Sans Text;sans-serif"/>
          <w:color w:val="1F1F1F"/>
        </w:rPr>
        <w:t>. To succeed, the agent must simultaneously perceive the environment to build a representation and reason about exploration and interaction (e.g., opening doors or drawers) to complete the task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2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Formalization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The problem is formalized as a </w:t>
      </w:r>
      <w:r>
        <w:rPr>
          <w:rFonts w:ascii="Google Sans Text;sans-serif" w:hAnsi="Google Sans Text;sans-serif"/>
          <w:b/>
          <w:color w:val="1F1F1F"/>
        </w:rPr>
        <w:t>Partially Observable Markov Decision Process (POMDP)</w:t>
      </w:r>
      <w:r>
        <w:rPr>
          <w:rFonts w:ascii="Google Sans Text;sans-serif" w:hAnsi="Google Sans Text;sans-serif"/>
          <w:color w:val="1F1F1F"/>
        </w:rPr>
        <w:t>, denoted as a tuple $\mathcal{M} = (S, A, O, T(s'|s, a), P(o|s), r(s, a))$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3</w:t>
      </w:r>
      <w:r>
        <w:rPr>
          <w:rFonts w:ascii="Google Sans Text;sans-serif" w:hAnsi="Google Sans Text;sans-serif"/>
          <w:color w:val="1F1F1F"/>
        </w:rPr>
        <w:t>. The components are defined as follows: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Goal ($g$):</w:t>
      </w:r>
      <w:r>
        <w:rPr>
          <w:rFonts w:ascii="Google Sans Text;sans-serif" w:hAnsi="Google Sans Text;sans-serif"/>
          <w:color w:val="1F1F1F"/>
        </w:rPr>
        <w:t xml:space="preserve"> A natural language description of the task the agent must complete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4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State Space ($S$) &amp; Action Space ($A$):</w:t>
      </w:r>
      <w:r>
        <w:rPr>
          <w:rFonts w:ascii="Google Sans Text;sans-serif" w:hAnsi="Google Sans Text;sans-serif"/>
          <w:color w:val="1F1F1F"/>
        </w:rPr>
        <w:t xml:space="preserve"> The underlying states and available actions for the agent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5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Observation Space ($O$):</w:t>
      </w:r>
      <w:r>
        <w:rPr>
          <w:rFonts w:ascii="Google Sans Text;sans-serif" w:hAnsi="Google Sans Text;sans-serif"/>
          <w:color w:val="1F1F1F"/>
        </w:rPr>
        <w:t xml:space="preserve"> The agent's current observation $o$, consisting of a posed RGB-D frame $I_{t}$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6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Transition Probability ($T$):</w:t>
      </w:r>
      <w:r>
        <w:rPr>
          <w:rFonts w:ascii="Google Sans Text;sans-serif" w:hAnsi="Google Sans Text;sans-serif"/>
          <w:color w:val="1F1F1F"/>
        </w:rPr>
        <w:t xml:space="preserve"> Defined as $T(s'|s, a)$, representing the probability of moving from state $s$ to $s'$ given action $a$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7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Observation Probability ($P$):</w:t>
      </w:r>
      <w:r>
        <w:rPr>
          <w:rFonts w:ascii="Google Sans Text;sans-serif" w:hAnsi="Google Sans Text;sans-serif"/>
          <w:color w:val="1F1F1F"/>
        </w:rPr>
        <w:t xml:space="preserve"> Defined as $P(o|s)$, representing the likelihood of receiving observation $o$ in state $s$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8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Reward Function ($r$):</w:t>
      </w:r>
      <w:r>
        <w:rPr>
          <w:rFonts w:ascii="Google Sans Text;sans-serif" w:hAnsi="Google Sans Text;sans-serif"/>
          <w:color w:val="1F1F1F"/>
        </w:rPr>
        <w:t xml:space="preserve"> Defined as $r(s, a)$, providing feedback on the action taken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9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Task: Semantic Interactive Object Search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The paper introduces the task of </w:t>
      </w:r>
      <w:r>
        <w:rPr>
          <w:rFonts w:ascii="Google Sans Text;sans-serif" w:hAnsi="Google Sans Text;sans-serif"/>
          <w:b/>
          <w:color w:val="1F1F1F"/>
        </w:rPr>
        <w:t>Semantic Interactive Object Search</w:t>
      </w:r>
      <w:r>
        <w:rPr>
          <w:rFonts w:ascii="Google Sans Text;sans-serif" w:hAnsi="Google Sans Text;sans-serif"/>
          <w:color w:val="1F1F1F"/>
        </w:rPr>
        <w:t>. In this scenario: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Objective:</w:t>
      </w:r>
      <w:r>
        <w:rPr>
          <w:rFonts w:ascii="Google Sans Text;sans-serif" w:hAnsi="Google Sans Text;sans-serif"/>
          <w:color w:val="1F1F1F"/>
        </w:rPr>
        <w:t xml:space="preserve"> The agent must find a target object category (e.g., a specific food item or tool) within an indoor environment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1010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Constraints:</w:t>
      </w:r>
      <w:r>
        <w:rPr>
          <w:rFonts w:ascii="Google Sans Text;sans-serif" w:hAnsi="Google Sans Text;sans-serif"/>
          <w:color w:val="1F1F1F"/>
        </w:rPr>
        <w:t xml:space="preserve"> The environment is initially unexplored, and objects may not be openly visible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11111111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Interaction:</w:t>
      </w:r>
      <w:r>
        <w:rPr>
          <w:rFonts w:ascii="Google Sans Text;sans-serif" w:hAnsi="Google Sans Text;sans-serif"/>
          <w:color w:val="1F1F1F"/>
        </w:rPr>
        <w:t xml:space="preserve"> The task requires physical manipulation, such as opening doors to navigate through rooms and searching inside receptacles like cabinets and drawers to reveal hidden objects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12121212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Success Condition:</w:t>
      </w:r>
      <w:r>
        <w:rPr>
          <w:rFonts w:ascii="Google Sans Text;sans-serif" w:hAnsi="Google Sans Text;sans-serif"/>
          <w:color w:val="1F1F1F"/>
        </w:rPr>
        <w:t xml:space="preserve"> The task is considered successful only if the agent observes an instance of the target category and explicitly executes the </w:t>
      </w:r>
      <w:r>
        <w:rPr>
          <w:rStyle w:val="SourceText"/>
          <w:rFonts w:ascii="Google Sans Text;sans-serif" w:hAnsi="Google Sans Text;sans-serif"/>
          <w:color w:val="444746"/>
        </w:rPr>
        <w:t>done()</w:t>
      </w:r>
      <w:r>
        <w:rPr>
          <w:rFonts w:ascii="Google Sans Text;sans-serif" w:hAnsi="Google Sans Text;sans-serif"/>
          <w:color w:val="1F1F1F"/>
        </w:rPr>
        <w:t xml:space="preserve"> command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13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Extension of Schmalstieg et al. [7]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This work builds directly upon the "interactive search task" introduced by </w:t>
      </w:r>
      <w:r>
        <w:rPr>
          <w:rFonts w:ascii="Google Sans Text;sans-serif" w:hAnsi="Google Sans Text;sans-serif"/>
          <w:b/>
          <w:color w:val="1F1F1F"/>
        </w:rPr>
        <w:t>Schmalstieg et al.</w:t>
      </w:r>
      <w:r>
        <w:rPr>
          <w:rFonts w:ascii="Google Sans Text;sans-serif" w:hAnsi="Google Sans Text;sans-serif"/>
          <w:color w:val="1F1F1F"/>
        </w:rPr>
        <w:t xml:space="preserve"> (referenced as [7] in the source text)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14141414</w:t>
      </w:r>
      <w:r>
        <w:rPr>
          <w:rFonts w:ascii="Google Sans Text;sans-serif" w:hAnsi="Google Sans Text;sans-serif"/>
          <w:color w:val="1F1F1F"/>
        </w:rPr>
        <w:t>. The authors extend this baseline in several critical ways to increase complexity and realism: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Semantic vs. Random Placement:</w:t>
      </w:r>
      <w:r>
        <w:rPr>
          <w:rFonts w:ascii="Google Sans Text;sans-serif" w:hAnsi="Google Sans Text;sans-serif"/>
          <w:color w:val="1F1F1F"/>
        </w:rPr>
        <w:t xml:space="preserve"> While Schmalstieg et al. focused on random target placements, this work introduces a </w:t>
      </w:r>
      <w:r>
        <w:rPr>
          <w:rFonts w:ascii="Google Sans Text;sans-serif" w:hAnsi="Google Sans Text;sans-serif"/>
          <w:b/>
          <w:color w:val="1F1F1F"/>
        </w:rPr>
        <w:t>semantic</w:t>
      </w:r>
      <w:r>
        <w:rPr>
          <w:rFonts w:ascii="Google Sans Text;sans-serif" w:hAnsi="Google Sans Text;sans-serif"/>
          <w:color w:val="1F1F1F"/>
        </w:rPr>
        <w:t xml:space="preserve"> variation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1515</w:t>
      </w:r>
      <w:r>
        <w:rPr>
          <w:rFonts w:ascii="Google Sans Text;sans-serif" w:hAnsi="Google Sans Text;sans-serif"/>
          <w:color w:val="1F1F1F"/>
        </w:rPr>
        <w:t>. The environment maintains realistic semantic co-occurrences (e.g., specific objects appearing near related objects), allowing the agent to use visible objects as cues to locate the target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16161616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Scale and Complexity:</w:t>
      </w:r>
      <w:r>
        <w:rPr>
          <w:rFonts w:ascii="Google Sans Text;sans-serif" w:hAnsi="Google Sans Text;sans-serif"/>
          <w:color w:val="1F1F1F"/>
        </w:rPr>
        <w:t xml:space="preserve"> The task is expanded to include a much larger number of objects and receptacles compared to the restricted set used in the previous work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17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Object Relations:</w:t>
      </w:r>
      <w:r>
        <w:rPr>
          <w:rFonts w:ascii="Google Sans Text;sans-serif" w:hAnsi="Google Sans Text;sans-serif"/>
          <w:color w:val="1F1F1F"/>
        </w:rPr>
        <w:t xml:space="preserve"> It incorporates a prior distribution of realistic room-object and object-object relations, meaning the presence of certain furniture or items informs the probability of the target's location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18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/>
      </w:r>
    </w:p>
    <w:sectPr>
      <w:type w:val="continuous"/>
      <w:pgSz w:w="12240" w:h="15840"/>
      <w:pgMar w:left="1440" w:right="1440" w:gutter="0" w:header="0" w:top="1440" w:footer="0" w:bottom="1440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">
    <w:altName w:val="sans-serif"/>
    <w:charset w:val="01"/>
    <w:family w:val="auto"/>
    <w:pitch w:val="default"/>
  </w:font>
  <w:font w:name="Google Sans">
    <w:altName w:val="sans-serif"/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2</Pages>
  <Words>436</Words>
  <Characters>2528</Characters>
  <CharactersWithSpaces>2930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2026-01-18T07:48:14Z</dcterms:created>
  <dc:creator/>
  <dc:description/>
  <dc:language>en</dc:language>
  <cp:lastModifiedBy/>
  <dcterms:modified xsi:type="dcterms:W3CDTF">2026-01-18T14:47:11Z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