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ient-handover-checklist"/>
    <w:p>
      <w:pPr>
        <w:pStyle w:val="Heading1"/>
      </w:pPr>
      <w:r>
        <w:t xml:space="preserve">Client Handover Checklist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Client Handover Checklist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Project Management Office (PMO)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Client Representative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serves as the official checklist for transferring all project deliverables, assets, documentation, infrastructure, credentials, and operational responsibilities from the project team to the client organization.</w:t>
      </w:r>
    </w:p>
    <w:p>
      <w:pPr>
        <w:pStyle w:val="BodyText"/>
      </w:pPr>
      <w:r>
        <w:t xml:space="preserve">The objectives are:</w:t>
      </w:r>
    </w:p>
    <w:p>
      <w:pPr>
        <w:pStyle w:val="BodyText"/>
      </w:pPr>
      <w:r>
        <w:t xml:space="preserve">✓ Verify Complete Delivery</w:t>
      </w:r>
    </w:p>
    <w:p>
      <w:pPr>
        <w:pStyle w:val="BodyText"/>
      </w:pPr>
      <w:r>
        <w:t xml:space="preserve">✓ Confirm Asset Transfer</w:t>
      </w:r>
    </w:p>
    <w:p>
      <w:pPr>
        <w:pStyle w:val="BodyText"/>
      </w:pPr>
      <w:r>
        <w:t xml:space="preserve">✓ Ensure Operational Readiness</w:t>
      </w:r>
    </w:p>
    <w:p>
      <w:pPr>
        <w:pStyle w:val="BodyText"/>
      </w:pPr>
      <w:r>
        <w:t xml:space="preserve">✓ Complete Ownership Transfer</w:t>
      </w:r>
    </w:p>
    <w:p>
      <w:pPr>
        <w:pStyle w:val="BodyText"/>
      </w:pPr>
      <w:r>
        <w:t xml:space="preserve">✓ Obtain Formal Acceptance</w:t>
      </w:r>
    </w:p>
    <w:p>
      <w:r>
        <w:pict>
          <v:rect style="width:0;height:1.5pt" o:hralign="center" o:hrstd="t" o:hr="t"/>
        </w:pict>
      </w:r>
    </w:p>
    <w:bookmarkEnd w:id="22"/>
    <w:bookmarkStart w:id="23" w:name="handover-information"/>
    <w:p>
      <w:pPr>
        <w:pStyle w:val="Heading1"/>
      </w:pPr>
      <w:r>
        <w:t xml:space="preserve">2. Handover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VivahBandh – Online Matrimonial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Handover Date</w:t>
            </w:r>
          </w:p>
        </w:tc>
        <w:tc>
          <w:tcPr/>
          <w:p>
            <w:pPr>
              <w:pStyle w:val="Compact"/>
            </w:pPr>
            <w:r>
              <w:t xml:space="preserve">DD/MM/YYYY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Organization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Representative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deliverables-transfer-checklist"/>
    <w:p>
      <w:pPr>
        <w:pStyle w:val="Heading1"/>
      </w:pPr>
      <w:r>
        <w:t xml:space="preserve">3. Deliverables Transfer Checklist</w:t>
      </w:r>
    </w:p>
    <w:bookmarkStart w:id="24" w:name="documentation-delivery"/>
    <w:p>
      <w:pPr>
        <w:pStyle w:val="Heading2"/>
      </w:pPr>
      <w:r>
        <w:t xml:space="preserve">Documentation Delivery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Overview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Requirements Specification (SRS)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Architecture Documentation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Documentation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 Documentation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Documentation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Documentation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Documentation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Handover Documentation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source-code-transfer-checklist"/>
    <w:p>
      <w:pPr>
        <w:pStyle w:val="Heading1"/>
      </w:pPr>
      <w:r>
        <w:t xml:space="preserve">4. Source Code Transfer Checklist</w:t>
      </w:r>
    </w:p>
    <w:p>
      <w:pPr>
        <w:pStyle w:val="FirstParagraph"/>
      </w:pPr>
      <w:r>
        <w:t xml:space="preserve">The following source code components have been transferred: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Source Code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Source Code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Scripts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Scripts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Data Scripts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Files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Files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Files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Pipeline Files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epository-transfer-checklist"/>
    <w:p>
      <w:pPr>
        <w:pStyle w:val="Heading1"/>
      </w:pPr>
      <w:r>
        <w:t xml:space="preserve">5. Repository Transfer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 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Repository Access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Structure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Tags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Request History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Tracker Access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Wiki/Knowledge Base Access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atabase-transfer-checklist"/>
    <w:p>
      <w:pPr>
        <w:pStyle w:val="Heading1"/>
      </w:pPr>
      <w:r>
        <w:t xml:space="preserve">6. Database Transfer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Scripts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Procedures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Procedures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Replication Configuration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Credentials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Configuration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infrastructure-transfer-checklist"/>
    <w:p>
      <w:pPr>
        <w:pStyle w:val="Heading1"/>
      </w:pPr>
      <w:r>
        <w:t xml:space="preserve">7. Infrastructure Transfer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Infrastructure 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Servers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Servers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Servers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Configuration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Buckets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Certificates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Configuration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1" w:name="cloud-resource-transfer-checklist"/>
    <w:p>
      <w:pPr>
        <w:pStyle w:val="Heading1"/>
      </w:pPr>
      <w:r>
        <w:t xml:space="preserve">8. Cloud Resource Transfer Checklist</w:t>
      </w:r>
    </w:p>
    <w:bookmarkStart w:id="30" w:name="aws-resources"/>
    <w:p>
      <w:pPr>
        <w:pStyle w:val="Heading2"/>
      </w:pPr>
      <w:r>
        <w:t xml:space="preserve">AWS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Instances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Database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ElastiCache Redis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Buckets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 Registry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EKS Cluster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 Roles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security-transfer-checklist"/>
    <w:p>
      <w:pPr>
        <w:pStyle w:val="Heading1"/>
      </w:pPr>
      <w:r>
        <w:t xml:space="preserve">9. Security Transfer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Security 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Certificates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Configuration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Policies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 Permissions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Groups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 Rules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Documentation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credentials-transfer-checklist"/>
    <w:p>
      <w:pPr>
        <w:pStyle w:val="Heading1"/>
      </w:pPr>
      <w:r>
        <w:t xml:space="preserve">10. Credentials Transfer Checklist</w:t>
      </w:r>
    </w:p>
    <w:bookmarkStart w:id="33" w:name="important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All credentials must be transferred securely.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Credential 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Admin Credentials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Credentials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Credentials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Credentials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Credentials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Service Credentials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Service Credentials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third-party-service-transfer"/>
    <w:p>
      <w:pPr>
        <w:pStyle w:val="Heading1"/>
      </w:pPr>
      <w:r>
        <w:t xml:space="preserve">11. Third-Party Service Transfer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SendGrid / SES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MSG91 / Twilio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Organization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monitoring-logging-transfer"/>
    <w:p>
      <w:pPr>
        <w:pStyle w:val="Heading1"/>
      </w:pPr>
      <w:r>
        <w:t xml:space="preserve">12. Monitoring &amp; Logging Transfer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Dashboards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Configuration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Rules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Management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Procedures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backup-recovery-transfer"/>
    <w:p>
      <w:pPr>
        <w:pStyle w:val="Heading1"/>
      </w:pPr>
      <w:r>
        <w:t xml:space="preserve">13. Backup &amp; Recovery Transfer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Procedures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Procedures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 Documentation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Schedules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Storage Access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testing-deliverables-transfer"/>
    <w:p>
      <w:pPr>
        <w:pStyle w:val="Heading1"/>
      </w:pPr>
      <w:r>
        <w:t xml:space="preserve">14. Testing Deliverables Transfer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 Reports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 Reports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Test Reports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 Reports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 Reports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Reports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operational-documentation-transfer"/>
    <w:p>
      <w:pPr>
        <w:pStyle w:val="Heading1"/>
      </w:pPr>
      <w:r>
        <w:t xml:space="preserve">15. Operational Documentation Transfer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Guide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Guide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Guide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Guide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Go-Live Checklist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Manual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knowledge-transfer-checklist"/>
    <w:p>
      <w:pPr>
        <w:pStyle w:val="Heading1"/>
      </w:pPr>
      <w:r>
        <w:t xml:space="preserve">16. Knowledge Transfer Checklist</w:t>
      </w:r>
    </w:p>
    <w:bookmarkStart w:id="40" w:name="technical-knowledge-transfer"/>
    <w:p>
      <w:pPr>
        <w:pStyle w:val="Heading2"/>
      </w:pPr>
      <w:r>
        <w:t xml:space="preserve">Technical Knowledge Transfer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Components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Architecture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Process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Procedures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Procedures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functional-knowledge-transfer"/>
    <w:p>
      <w:pPr>
        <w:pStyle w:val="Heading2"/>
      </w:pPr>
      <w:r>
        <w:t xml:space="preserve">Functional Knowledge Transfer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Matchmaking Process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System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System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Operations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&amp; Analytics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training-completion-checklist"/>
    <w:p>
      <w:pPr>
        <w:pStyle w:val="Heading1"/>
      </w:pPr>
      <w:r>
        <w:t xml:space="preserve">17. Training Completion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Session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 Training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Team Training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Team Training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Team Training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Training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support-transition-checklist"/>
    <w:p>
      <w:pPr>
        <w:pStyle w:val="Heading1"/>
      </w:pPr>
      <w:r>
        <w:t xml:space="preserve">18. Support Transition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Team Identified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Matrix Shared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Contacts Shared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Procedures Shared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Defined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open-issues-pending-items"/>
    <w:p>
      <w:pPr>
        <w:pStyle w:val="Heading1"/>
      </w:pPr>
      <w:r>
        <w:t xml:space="preserve">19. Open Issues &amp; Pending Items</w:t>
      </w:r>
    </w:p>
    <w:bookmarkStart w:id="45" w:name="open-issues"/>
    <w:p>
      <w:pPr>
        <w:pStyle w:val="Heading2"/>
      </w:pPr>
      <w:r>
        <w:t xml:space="preserve">Open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01"/>
        </w:numPr>
      </w:pPr>
      <w:r>
        <w:t xml:space="preserve">Mobile Application</w:t>
      </w:r>
    </w:p>
    <w:p>
      <w:pPr>
        <w:pStyle w:val="Compact"/>
        <w:numPr>
          <w:ilvl w:val="0"/>
          <w:numId w:val="1001"/>
        </w:numPr>
      </w:pPr>
      <w:r>
        <w:t xml:space="preserve">AI Recommendation Engine</w:t>
      </w:r>
    </w:p>
    <w:p>
      <w:pPr>
        <w:pStyle w:val="Compact"/>
        <w:numPr>
          <w:ilvl w:val="0"/>
          <w:numId w:val="1001"/>
        </w:numPr>
      </w:pPr>
      <w:r>
        <w:t xml:space="preserve">Horoscope Matching</w:t>
      </w:r>
    </w:p>
    <w:p>
      <w:pPr>
        <w:pStyle w:val="Compact"/>
        <w:numPr>
          <w:ilvl w:val="0"/>
          <w:numId w:val="1001"/>
        </w:numPr>
      </w:pPr>
      <w:r>
        <w:t xml:space="preserve">Video Profile Support</w:t>
      </w:r>
    </w:p>
    <w:p>
      <w:pPr>
        <w:pStyle w:val="Compact"/>
        <w:numPr>
          <w:ilvl w:val="0"/>
          <w:numId w:val="1001"/>
        </w:numPr>
      </w:pPr>
      <w:r>
        <w:t xml:space="preserve">Premium Membership Module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cceptance-validation"/>
    <w:p>
      <w:pPr>
        <w:pStyle w:val="Heading1"/>
      </w:pPr>
      <w:r>
        <w:t xml:space="preserve">20. Acceptance Validation</w:t>
      </w:r>
    </w:p>
    <w:p>
      <w:pPr>
        <w:pStyle w:val="FirstParagraph"/>
      </w:pPr>
      <w:r>
        <w:t xml:space="preserve">The client confirms that:</w:t>
      </w:r>
    </w:p>
    <w:p>
      <w:pPr>
        <w:pStyle w:val="BodyText"/>
      </w:pPr>
      <w:r>
        <w:t xml:space="preserve">✓ All agreed deliverables have been received.</w:t>
      </w:r>
    </w:p>
    <w:p>
      <w:pPr>
        <w:pStyle w:val="BodyText"/>
      </w:pPr>
      <w:r>
        <w:t xml:space="preserve">✓ Required documentation has been provided.</w:t>
      </w:r>
    </w:p>
    <w:p>
      <w:pPr>
        <w:pStyle w:val="BodyText"/>
      </w:pPr>
      <w:r>
        <w:t xml:space="preserve">✓ Knowledge transfer sessions have been completed.</w:t>
      </w:r>
    </w:p>
    <w:p>
      <w:pPr>
        <w:pStyle w:val="BodyText"/>
      </w:pPr>
      <w:r>
        <w:t xml:space="preserve">✓ Access credentials have been received securely.</w:t>
      </w:r>
    </w:p>
    <w:p>
      <w:pPr>
        <w:pStyle w:val="BodyText"/>
      </w:pPr>
      <w:r>
        <w:t xml:space="preserve">✓ Operational procedures have been reviewed.</w:t>
      </w:r>
    </w:p>
    <w:p>
      <w:r>
        <w:pict>
          <v:rect style="width:0;height:1.5pt" o:hralign="center" o:hrstd="t" o:hr="t"/>
        </w:pict>
      </w:r>
    </w:p>
    <w:bookmarkEnd w:id="48"/>
    <w:bookmarkStart w:id="49" w:name="risk-acknowledgement"/>
    <w:p>
      <w:pPr>
        <w:pStyle w:val="Heading1"/>
      </w:pPr>
      <w:r>
        <w:t xml:space="preserve">21. Risk Acknowledgement</w:t>
      </w:r>
    </w:p>
    <w:p>
      <w:pPr>
        <w:pStyle w:val="FirstParagraph"/>
      </w:pPr>
      <w:r>
        <w:t xml:space="preserve">The client acknowledges responsibility for:</w:t>
      </w:r>
    </w:p>
    <w:p>
      <w:pPr>
        <w:pStyle w:val="Compact"/>
        <w:numPr>
          <w:ilvl w:val="0"/>
          <w:numId w:val="1002"/>
        </w:numPr>
      </w:pPr>
      <w:r>
        <w:t xml:space="preserve">Ongoing Operations</w:t>
      </w:r>
    </w:p>
    <w:p>
      <w:pPr>
        <w:pStyle w:val="Compact"/>
        <w:numPr>
          <w:ilvl w:val="0"/>
          <w:numId w:val="1002"/>
        </w:numPr>
      </w:pPr>
      <w:r>
        <w:t xml:space="preserve">User Administration</w:t>
      </w:r>
    </w:p>
    <w:p>
      <w:pPr>
        <w:pStyle w:val="Compact"/>
        <w:numPr>
          <w:ilvl w:val="0"/>
          <w:numId w:val="1002"/>
        </w:numPr>
      </w:pPr>
      <w:r>
        <w:t xml:space="preserve">Infrastructure Maintenance</w:t>
      </w:r>
    </w:p>
    <w:p>
      <w:pPr>
        <w:pStyle w:val="Compact"/>
        <w:numPr>
          <w:ilvl w:val="0"/>
          <w:numId w:val="1002"/>
        </w:numPr>
      </w:pPr>
      <w:r>
        <w:t xml:space="preserve">Backup Monitoring</w:t>
      </w:r>
    </w:p>
    <w:p>
      <w:pPr>
        <w:pStyle w:val="Compact"/>
        <w:numPr>
          <w:ilvl w:val="0"/>
          <w:numId w:val="1002"/>
        </w:numPr>
      </w:pPr>
      <w:r>
        <w:t xml:space="preserve">Security Monitoring</w:t>
      </w:r>
    </w:p>
    <w:p>
      <w:pPr>
        <w:pStyle w:val="Compact"/>
        <w:numPr>
          <w:ilvl w:val="0"/>
          <w:numId w:val="1002"/>
        </w:numPr>
      </w:pPr>
      <w:r>
        <w:t xml:space="preserve">Future Enhancements</w:t>
      </w:r>
    </w:p>
    <w:p>
      <w:r>
        <w:pict>
          <v:rect style="width:0;height:1.5pt" o:hralign="center" o:hrstd="t" o:hr="t"/>
        </w:pict>
      </w:r>
    </w:p>
    <w:bookmarkEnd w:id="49"/>
    <w:bookmarkStart w:id="50" w:name="ownership-transfer-declaration"/>
    <w:p>
      <w:pPr>
        <w:pStyle w:val="Heading1"/>
      </w:pPr>
      <w:r>
        <w:t xml:space="preserve">22. Ownership Transfer Declaration</w:t>
      </w:r>
    </w:p>
    <w:p>
      <w:pPr>
        <w:pStyle w:val="FirstParagraph"/>
      </w:pPr>
      <w:r>
        <w:t xml:space="preserve">Ownership of the following assets is transferred to the client:</w:t>
      </w:r>
    </w:p>
    <w:p>
      <w:pPr>
        <w:pStyle w:val="BodyText"/>
      </w:pPr>
      <w:r>
        <w:t xml:space="preserve">✓ Application Source Code</w:t>
      </w:r>
    </w:p>
    <w:p>
      <w:pPr>
        <w:pStyle w:val="BodyText"/>
      </w:pPr>
      <w:r>
        <w:t xml:space="preserve">✓ Database Assets</w:t>
      </w:r>
    </w:p>
    <w:p>
      <w:pPr>
        <w:pStyle w:val="BodyText"/>
      </w:pPr>
      <w:r>
        <w:t xml:space="preserve">✓ Infrastructure Assets</w:t>
      </w:r>
    </w:p>
    <w:p>
      <w:pPr>
        <w:pStyle w:val="BodyText"/>
      </w:pPr>
      <w:r>
        <w:t xml:space="preserve">✓ Documentation Assets</w:t>
      </w:r>
    </w:p>
    <w:p>
      <w:pPr>
        <w:pStyle w:val="BodyText"/>
      </w:pPr>
      <w:r>
        <w:t xml:space="preserve">✓ Deployment Assets</w:t>
      </w:r>
    </w:p>
    <w:p>
      <w:pPr>
        <w:pStyle w:val="BodyText"/>
      </w:pPr>
      <w:r>
        <w:t xml:space="preserve">✓ Monitoring Assets</w:t>
      </w:r>
    </w:p>
    <w:p>
      <w:r>
        <w:pict>
          <v:rect style="width:0;height:1.5pt" o:hralign="center" o:hrstd="t" o:hr="t"/>
        </w:pict>
      </w:r>
    </w:p>
    <w:bookmarkEnd w:id="50"/>
    <w:bookmarkStart w:id="51" w:name="handover-approval-matrix"/>
    <w:p>
      <w:pPr>
        <w:pStyle w:val="Heading1"/>
      </w:pPr>
      <w:r>
        <w:t xml:space="preserve">23. Handover Approval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Client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final-acceptance-statement"/>
    <w:p>
      <w:pPr>
        <w:pStyle w:val="Heading1"/>
      </w:pPr>
      <w:r>
        <w:t xml:space="preserve">24. Final Acceptance Statement</w:t>
      </w:r>
    </w:p>
    <w:p>
      <w:pPr>
        <w:pStyle w:val="FirstParagraph"/>
      </w:pPr>
      <w:r>
        <w:t xml:space="preserve">The client acknowledges receipt of all project deliverables, assets, documentation, credentials, and knowledge transfer materials related to the VivahBandh Matrimonial Portal.</w:t>
      </w:r>
    </w:p>
    <w:p>
      <w:pPr>
        <w:pStyle w:val="BodyText"/>
      </w:pPr>
      <w:r>
        <w:t xml:space="preserve">The project is formally accepted and operational ownership is transferred to the client organization.</w:t>
      </w:r>
    </w:p>
    <w:p>
      <w:r>
        <w:pict>
          <v:rect style="width:0;height:1.5pt" o:hralign="center" o:hrstd="t" o:hr="t"/>
        </w:pict>
      </w:r>
    </w:p>
    <w:bookmarkEnd w:id="52"/>
    <w:bookmarkStart w:id="53" w:name="handover-completion-status"/>
    <w:p>
      <w:pPr>
        <w:pStyle w:val="Heading1"/>
      </w:pPr>
      <w:r>
        <w:t xml:space="preserve">25. Handover Completion Status</w:t>
      </w:r>
    </w:p>
    <w:p>
      <w:pPr>
        <w:pStyle w:val="SourceCode"/>
      </w:pPr>
      <w:r>
        <w:rPr>
          <w:rStyle w:val="VerbatimChar"/>
        </w:rPr>
        <w:t xml:space="preserve">HANDOVER COMPLETED</w:t>
      </w:r>
    </w:p>
    <w:p>
      <w:r>
        <w:pict>
          <v:rect style="width:0;height:1.5pt" o:hralign="center" o:hrstd="t" o:hr="t"/>
        </w:pict>
      </w:r>
    </w:p>
    <w:bookmarkEnd w:id="53"/>
    <w:bookmarkStart w:id="54" w:name="conclusion"/>
    <w:p>
      <w:pPr>
        <w:pStyle w:val="Heading1"/>
      </w:pPr>
      <w:r>
        <w:t xml:space="preserve">26. Conclusion</w:t>
      </w:r>
    </w:p>
    <w:p>
      <w:pPr>
        <w:pStyle w:val="FirstParagraph"/>
      </w:pPr>
      <w:r>
        <w:t xml:space="preserve">This Client Handover Checklist serves as the official record of deliverable verification, ownership transfer, operational readiness validation, and client acceptance for the VivahBandh Matrimonial Portal project.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2026-06-07T07:01:37Z</dcterms:created>
  <dcterms:modified xsi:type="dcterms:W3CDTF">2026-06-07T07:01:37Z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