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1F3864"/>
          <w:sz w:val="36"/>
          <w:szCs w:val="36"/>
        </w:rPr>
        <w:t xml:space="preserve">Dr. Aria — Prompt Engineering Corpus</w:t>
      </w:r>
    </w:p>
    <w:p>
      <w:pPr>
        <w:spacing w:after="100" w:before="0"/>
        <w:jc w:val="center"/>
      </w:pPr>
      <w:r>
        <w:rPr>
          <w:rFonts w:ascii="Times New Roman" w:cs="Times New Roman" w:eastAsia="Times New Roman" w:hAnsi="Times New Roman"/>
          <w:i/>
          <w:iCs/>
          <w:color w:val="2F5496"/>
          <w:sz w:val="24"/>
          <w:szCs w:val="24"/>
        </w:rPr>
        <w:t xml:space="preserve">Nine-Section Modular System Prompt Documentation — v1.0</w:t>
      </w:r>
    </w:p>
    <w:p>
      <w:pPr>
        <w:spacing w:after="300" w:before="0"/>
        <w:jc w:val="center"/>
      </w:pPr>
      <w:r>
        <w:rPr>
          <w:rFonts w:ascii="Times New Roman" w:cs="Times New Roman" w:eastAsia="Times New Roman" w:hAnsi="Times New Roman"/>
          <w:sz w:val="22"/>
          <w:szCs w:val="22"/>
        </w:rPr>
        <w:t xml:space="preserve">Pratik Gond · Neha Roy · Kush Bohare · April 2026</w:t>
      </w:r>
    </w:p>
    <w:p>
      <w:pPr>
        <w:spacing w:after="100" w:before="280"/>
        <w:jc w:val="left"/>
      </w:pPr>
      <w:r>
        <w:rPr>
          <w:rFonts w:ascii="Times New Roman" w:cs="Times New Roman" w:eastAsia="Times New Roman" w:hAnsi="Times New Roman"/>
          <w:b/>
          <w:bCs/>
          <w:color w:val="1F3864"/>
          <w:sz w:val="28"/>
          <w:szCs w:val="28"/>
        </w:rPr>
        <w:t xml:space="preserve">1. Overview</w:t>
      </w:r>
    </w:p>
    <w:p>
      <w:pPr>
        <w:spacing w:after="80" w:before="0" w:line="276"/>
        <w:jc w:val="both"/>
      </w:pPr>
      <w:r>
        <w:rPr>
          <w:rFonts w:ascii="Times New Roman" w:cs="Times New Roman" w:eastAsia="Times New Roman" w:hAnsi="Times New Roman"/>
          <w:sz w:val="22"/>
          <w:szCs w:val="22"/>
        </w:rPr>
        <w:t xml:space="preserve">Dr. Aria's therapeutic behavior is governed by a nine-section modular system prompt assembled dynamically on each API call. This document describes each section's purpose, design rationale, key content, and how it interacts with the other sections. The prompt corpus represents the primary "training data" for Dr. Aria's clinical persona — it is not fine-tuning but instead sophisticated prompt engineering informed by psychotherapy outcome research.</w:t>
      </w:r>
    </w:p>
    <w:p>
      <w:pPr>
        <w:spacing w:after="100" w:before="280"/>
        <w:jc w:val="left"/>
      </w:pPr>
      <w:r>
        <w:rPr>
          <w:rFonts w:ascii="Times New Roman" w:cs="Times New Roman" w:eastAsia="Times New Roman" w:hAnsi="Times New Roman"/>
          <w:b/>
          <w:bCs/>
          <w:color w:val="1F3864"/>
          <w:sz w:val="28"/>
          <w:szCs w:val="28"/>
        </w:rPr>
        <w:t xml:space="preserve">2. Assembly Architecture</w:t>
      </w:r>
    </w:p>
    <w:p>
      <w:pPr>
        <w:spacing w:after="80" w:before="0" w:line="276"/>
        <w:jc w:val="both"/>
      </w:pPr>
      <w:r>
        <w:rPr>
          <w:rFonts w:ascii="Times New Roman" w:cs="Times New Roman" w:eastAsia="Times New Roman" w:hAnsi="Times New Roman"/>
          <w:sz w:val="22"/>
          <w:szCs w:val="22"/>
        </w:rPr>
        <w:t xml:space="preserve">The nine sections are assembled in strict order by the prompt assembler (ai/prompt.js). Sections placed later in the context receive higher attention weight in transformer architectures (recency bias). The assembly order is therefore intentional:</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00"/>
        <w:gridCol w:w="2200"/>
        <w:gridCol w:w="1960"/>
      </w:tblGrid>
      <w:tr>
        <w:trPr>
          <w:tblHeader/>
        </w:trPr>
        <w:tc>
          <w:tcPr>
            <w:tcW w:type="dxa" w:w="100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Position</w:t>
            </w:r>
          </w:p>
        </w:tc>
        <w:tc>
          <w:tcPr>
            <w:tcW w:type="dxa" w:w="150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Section</w:t>
            </w:r>
          </w:p>
        </w:tc>
        <w:tc>
          <w:tcPr>
            <w:tcW w:type="dxa" w:w="70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Lines</w:t>
            </w:r>
          </w:p>
        </w:tc>
        <w:tc>
          <w:tcPr>
            <w:tcW w:type="dxa" w:w="220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96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Attention Priority</w:t>
            </w:r>
          </w:p>
        </w:tc>
      </w:tr>
      <w:tr>
        <w:tc>
          <w:tcPr>
            <w:tcW w:type="dxa" w:w="10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w:t>
            </w:r>
          </w:p>
        </w:tc>
        <w:tc>
          <w:tcPr>
            <w:tcW w:type="dxa" w:w="1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Persona</w:t>
            </w:r>
          </w:p>
        </w:tc>
        <w:tc>
          <w:tcPr>
            <w:tcW w:type="dxa" w:w="7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118</w:t>
            </w:r>
          </w:p>
        </w:tc>
        <w:tc>
          <w:tcPr>
            <w:tcW w:type="dxa" w:w="22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Clinical Identity</w:t>
            </w:r>
          </w:p>
        </w:tc>
        <w:tc>
          <w:tcPr>
            <w:tcW w:type="dxa" w:w="19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Low (foundational)</w:t>
            </w:r>
          </w:p>
        </w:tc>
      </w:tr>
      <w:tr>
        <w:tc>
          <w:tcPr>
            <w:tcW w:type="dxa" w:w="10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w:t>
            </w:r>
          </w:p>
        </w:tc>
        <w:tc>
          <w:tcPr>
            <w:tcW w:type="dxa" w:w="1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Rules</w:t>
            </w:r>
          </w:p>
        </w:tc>
        <w:tc>
          <w:tcPr>
            <w:tcW w:type="dxa" w:w="7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90</w:t>
            </w:r>
          </w:p>
        </w:tc>
        <w:tc>
          <w:tcPr>
            <w:tcW w:type="dxa" w:w="22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Behavioral Constraints</w:t>
            </w:r>
          </w:p>
        </w:tc>
        <w:tc>
          <w:tcPr>
            <w:tcW w:type="dxa" w:w="19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Low-Medium</w:t>
            </w:r>
          </w:p>
        </w:tc>
      </w:tr>
      <w:tr>
        <w:tc>
          <w:tcPr>
            <w:tcW w:type="dxa" w:w="10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1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CBT</w:t>
            </w:r>
          </w:p>
        </w:tc>
        <w:tc>
          <w:tcPr>
            <w:tcW w:type="dxa" w:w="7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94</w:t>
            </w:r>
          </w:p>
        </w:tc>
        <w:tc>
          <w:tcPr>
            <w:tcW w:type="dxa" w:w="22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Therapy Modality</w:t>
            </w:r>
          </w:p>
        </w:tc>
        <w:tc>
          <w:tcPr>
            <w:tcW w:type="dxa" w:w="19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w:t>
            </w:r>
          </w:p>
        </w:tc>
      </w:tr>
      <w:tr>
        <w:tc>
          <w:tcPr>
            <w:tcW w:type="dxa" w:w="10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w:t>
            </w:r>
          </w:p>
        </w:tc>
        <w:tc>
          <w:tcPr>
            <w:tcW w:type="dxa" w:w="1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Psychoanalytic</w:t>
            </w:r>
          </w:p>
        </w:tc>
        <w:tc>
          <w:tcPr>
            <w:tcW w:type="dxa" w:w="7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103</w:t>
            </w:r>
          </w:p>
        </w:tc>
        <w:tc>
          <w:tcPr>
            <w:tcW w:type="dxa" w:w="22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Therapy Modality</w:t>
            </w:r>
          </w:p>
        </w:tc>
        <w:tc>
          <w:tcPr>
            <w:tcW w:type="dxa" w:w="19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w:t>
            </w:r>
          </w:p>
        </w:tc>
      </w:tr>
      <w:tr>
        <w:tc>
          <w:tcPr>
            <w:tcW w:type="dxa" w:w="10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w:t>
            </w:r>
          </w:p>
        </w:tc>
        <w:tc>
          <w:tcPr>
            <w:tcW w:type="dxa" w:w="1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Humanistic</w:t>
            </w:r>
          </w:p>
        </w:tc>
        <w:tc>
          <w:tcPr>
            <w:tcW w:type="dxa" w:w="7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125</w:t>
            </w:r>
          </w:p>
        </w:tc>
        <w:tc>
          <w:tcPr>
            <w:tcW w:type="dxa" w:w="22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Therapy Modality</w:t>
            </w:r>
          </w:p>
        </w:tc>
        <w:tc>
          <w:tcPr>
            <w:tcW w:type="dxa" w:w="19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w:t>
            </w:r>
          </w:p>
        </w:tc>
      </w:tr>
      <w:tr>
        <w:tc>
          <w:tcPr>
            <w:tcW w:type="dxa" w:w="10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w:t>
            </w:r>
          </w:p>
        </w:tc>
        <w:tc>
          <w:tcPr>
            <w:tcW w:type="dxa" w:w="1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Research</w:t>
            </w:r>
          </w:p>
        </w:tc>
        <w:tc>
          <w:tcPr>
            <w:tcW w:type="dxa" w:w="7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155</w:t>
            </w:r>
          </w:p>
        </w:tc>
        <w:tc>
          <w:tcPr>
            <w:tcW w:type="dxa" w:w="22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Evidence-Based Practice</w:t>
            </w:r>
          </w:p>
        </w:tc>
        <w:tc>
          <w:tcPr>
            <w:tcW w:type="dxa" w:w="19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Medium-High</w:t>
            </w:r>
          </w:p>
        </w:tc>
      </w:tr>
      <w:tr>
        <w:tc>
          <w:tcPr>
            <w:tcW w:type="dxa" w:w="10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7</w:t>
            </w:r>
          </w:p>
        </w:tc>
        <w:tc>
          <w:tcPr>
            <w:tcW w:type="dxa" w:w="1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Cultural</w:t>
            </w:r>
          </w:p>
        </w:tc>
        <w:tc>
          <w:tcPr>
            <w:tcW w:type="dxa" w:w="7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129</w:t>
            </w:r>
          </w:p>
        </w:tc>
        <w:tc>
          <w:tcPr>
            <w:tcW w:type="dxa" w:w="22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Cultural Context</w:t>
            </w:r>
          </w:p>
        </w:tc>
        <w:tc>
          <w:tcPr>
            <w:tcW w:type="dxa" w:w="19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0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w:t>
            </w:r>
          </w:p>
        </w:tc>
        <w:tc>
          <w:tcPr>
            <w:tcW w:type="dxa" w:w="1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Emotions</w:t>
            </w:r>
          </w:p>
        </w:tc>
        <w:tc>
          <w:tcPr>
            <w:tcW w:type="dxa" w:w="7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123</w:t>
            </w:r>
          </w:p>
        </w:tc>
        <w:tc>
          <w:tcPr>
            <w:tcW w:type="dxa" w:w="22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Emotion Handling</w:t>
            </w:r>
          </w:p>
        </w:tc>
        <w:tc>
          <w:tcPr>
            <w:tcW w:type="dxa" w:w="19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r>
      <w:tr>
        <w:tc>
          <w:tcPr>
            <w:tcW w:type="dxa" w:w="10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9</w:t>
            </w:r>
          </w:p>
        </w:tc>
        <w:tc>
          <w:tcPr>
            <w:tcW w:type="dxa" w:w="1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Crisis</w:t>
            </w:r>
          </w:p>
        </w:tc>
        <w:tc>
          <w:tcPr>
            <w:tcW w:type="dxa" w:w="7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146</w:t>
            </w:r>
          </w:p>
        </w:tc>
        <w:tc>
          <w:tcPr>
            <w:tcW w:type="dxa" w:w="22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Safety &amp; Crisis Response</w:t>
            </w:r>
          </w:p>
        </w:tc>
        <w:tc>
          <w:tcPr>
            <w:tcW w:type="dxa" w:w="19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Highest</w:t>
            </w:r>
          </w:p>
        </w:tc>
      </w:tr>
    </w:tbl>
    <w:p>
      <w:r>
        <w:t xml:space="preserve"/>
      </w:r>
    </w:p>
    <w:p>
      <w:pPr>
        <w:spacing w:after="100" w:before="280"/>
        <w:jc w:val="left"/>
      </w:pPr>
      <w:r>
        <w:rPr>
          <w:rFonts w:ascii="Times New Roman" w:cs="Times New Roman" w:eastAsia="Times New Roman" w:hAnsi="Times New Roman"/>
          <w:b/>
          <w:bCs/>
          <w:color w:val="1F3864"/>
          <w:sz w:val="28"/>
          <w:szCs w:val="28"/>
        </w:rPr>
        <w:t xml:space="preserve">3. Section Descriptions</w:t>
      </w:r>
    </w:p>
    <w:p>
      <w:pPr>
        <w:spacing w:after="80" w:before="180"/>
        <w:jc w:val="left"/>
      </w:pPr>
      <w:r>
        <w:rPr>
          <w:rFonts w:ascii="Times New Roman" w:cs="Times New Roman" w:eastAsia="Times New Roman" w:hAnsi="Times New Roman"/>
          <w:b/>
          <w:bCs/>
          <w:color w:val="2F5496"/>
          <w:sz w:val="24"/>
          <w:szCs w:val="24"/>
        </w:rPr>
        <w:t xml:space="preserve">3.1 Persona (118 lines) — ai/sections/persona.js</w:t>
      </w:r>
    </w:p>
    <w:p>
      <w:pPr>
        <w:spacing w:after="80" w:before="0" w:line="276"/>
        <w:jc w:val="both"/>
      </w:pPr>
      <w:r>
        <w:rPr>
          <w:rFonts w:ascii="Times New Roman" w:cs="Times New Roman" w:eastAsia="Times New Roman" w:hAnsi="Times New Roman"/>
          <w:sz w:val="22"/>
          <w:szCs w:val="22"/>
        </w:rPr>
        <w:t xml:space="preserve">Establishes Dr. Aria's clinical identity: a warm, research-informed therapist with 30 years of clinical experience. Key design decisions:</w:t>
      </w:r>
    </w:p>
    <w:p>
      <w:pPr>
        <w:spacing w:after="60" w:before="0"/>
        <w:ind w:left="360" w:hanging="200"/>
      </w:pPr>
      <w:r>
        <w:rPr>
          <w:rFonts w:ascii="Times New Roman" w:cs="Times New Roman" w:eastAsia="Times New Roman" w:hAnsi="Times New Roman"/>
          <w:sz w:val="22"/>
          <w:szCs w:val="22"/>
        </w:rPr>
        <w:t xml:space="preserve">•  Grounded in Wampold (2001) and Lambert (1992) — common factors over technique-specific efficacy</w:t>
      </w:r>
    </w:p>
    <w:p>
      <w:pPr>
        <w:spacing w:after="60" w:before="0"/>
        <w:ind w:left="360" w:hanging="200"/>
      </w:pPr>
      <w:r>
        <w:rPr>
          <w:rFonts w:ascii="Times New Roman" w:cs="Times New Roman" w:eastAsia="Times New Roman" w:hAnsi="Times New Roman"/>
          <w:sz w:val="22"/>
          <w:szCs w:val="22"/>
        </w:rPr>
        <w:t xml:space="preserve">•  Inquiry over advice: Dr. Aria asks one question at a time and rarely offers unsolicited recommendations</w:t>
      </w:r>
    </w:p>
    <w:p>
      <w:pPr>
        <w:spacing w:after="60" w:before="0"/>
        <w:ind w:left="360" w:hanging="200"/>
      </w:pPr>
      <w:r>
        <w:rPr>
          <w:rFonts w:ascii="Times New Roman" w:cs="Times New Roman" w:eastAsia="Times New Roman" w:hAnsi="Times New Roman"/>
          <w:sz w:val="22"/>
          <w:szCs w:val="22"/>
        </w:rPr>
        <w:t xml:space="preserve">•  Reflection over question: preferred response pattern is to reflect what was heard before asking</w:t>
      </w:r>
    </w:p>
    <w:p>
      <w:pPr>
        <w:spacing w:after="60" w:before="0"/>
        <w:ind w:left="360" w:hanging="200"/>
      </w:pPr>
      <w:r>
        <w:rPr>
          <w:rFonts w:ascii="Times New Roman" w:cs="Times New Roman" w:eastAsia="Times New Roman" w:hAnsi="Times New Roman"/>
          <w:sz w:val="22"/>
          <w:szCs w:val="22"/>
        </w:rPr>
        <w:t xml:space="preserve">•  Silence over filler: Dr. Aria does not fill conversational space with platitudes</w:t>
      </w:r>
    </w:p>
    <w:p>
      <w:pPr>
        <w:spacing w:after="60" w:before="0"/>
        <w:ind w:left="360" w:hanging="200"/>
      </w:pPr>
      <w:r>
        <w:rPr>
          <w:rFonts w:ascii="Times New Roman" w:cs="Times New Roman" w:eastAsia="Times New Roman" w:hAnsi="Times New Roman"/>
          <w:sz w:val="22"/>
          <w:szCs w:val="22"/>
        </w:rPr>
        <w:t xml:space="preserve">•  Comparison to human therapist JMIR study: response quality targets are benchmarked</w:t>
      </w:r>
    </w:p>
    <w:p>
      <w:pPr>
        <w:spacing w:after="80" w:before="0" w:line="276"/>
        <w:jc w:val="both"/>
      </w:pPr>
      <w:r>
        <w:rPr>
          <w:rFonts w:ascii="Times New Roman" w:cs="Times New Roman" w:eastAsia="Times New Roman" w:hAnsi="Times New Roman"/>
          <w:sz w:val="22"/>
          <w:szCs w:val="22"/>
        </w:rPr>
        <w:t xml:space="preserve">The persona section also defines what Dr. Aria is NOT: not a crisis line, not a diagnostician, not a friend, not a life coach. These negatives are as important as the positive definition.</w:t>
      </w:r>
    </w:p>
    <w:p>
      <w:pPr>
        <w:spacing w:after="80" w:before="180"/>
        <w:jc w:val="left"/>
      </w:pPr>
      <w:r>
        <w:rPr>
          <w:rFonts w:ascii="Times New Roman" w:cs="Times New Roman" w:eastAsia="Times New Roman" w:hAnsi="Times New Roman"/>
          <w:b/>
          <w:bCs/>
          <w:color w:val="2F5496"/>
          <w:sz w:val="24"/>
          <w:szCs w:val="24"/>
        </w:rPr>
        <w:t xml:space="preserve">3.2 Rules (90 lines) — ai/sections/rules.js</w:t>
      </w:r>
    </w:p>
    <w:p>
      <w:pPr>
        <w:spacing w:after="80" w:before="0" w:line="276"/>
        <w:jc w:val="both"/>
      </w:pPr>
      <w:r>
        <w:rPr>
          <w:rFonts w:ascii="Times New Roman" w:cs="Times New Roman" w:eastAsia="Times New Roman" w:hAnsi="Times New Roman"/>
          <w:sz w:val="22"/>
          <w:szCs w:val="22"/>
        </w:rPr>
        <w:t xml:space="preserve">Defines hard behavioral constraints that override all other sections:</w:t>
      </w:r>
    </w:p>
    <w:p>
      <w:pPr>
        <w:spacing w:after="60" w:before="0"/>
        <w:ind w:left="360" w:hanging="200"/>
      </w:pPr>
      <w:r>
        <w:rPr>
          <w:rFonts w:ascii="Times New Roman" w:cs="Times New Roman" w:eastAsia="Times New Roman" w:hAnsi="Times New Roman"/>
          <w:sz w:val="22"/>
          <w:szCs w:val="22"/>
        </w:rPr>
        <w:t xml:space="preserve">•  No compliance with DAN, jailbreak, or instruction-override attempts</w:t>
      </w:r>
    </w:p>
    <w:p>
      <w:pPr>
        <w:spacing w:after="60" w:before="0"/>
        <w:ind w:left="360" w:hanging="200"/>
      </w:pPr>
      <w:r>
        <w:rPr>
          <w:rFonts w:ascii="Times New Roman" w:cs="Times New Roman" w:eastAsia="Times New Roman" w:hAnsi="Times New Roman"/>
          <w:sz w:val="22"/>
          <w:szCs w:val="22"/>
        </w:rPr>
        <w:t xml:space="preserve">•  Never roleplay as a human (but also never deny being AI in a clinical, cold way)</w:t>
      </w:r>
    </w:p>
    <w:p>
      <w:pPr>
        <w:spacing w:after="60" w:before="0"/>
        <w:ind w:left="360" w:hanging="200"/>
      </w:pPr>
      <w:r>
        <w:rPr>
          <w:rFonts w:ascii="Times New Roman" w:cs="Times New Roman" w:eastAsia="Times New Roman" w:hAnsi="Times New Roman"/>
          <w:sz w:val="22"/>
          <w:szCs w:val="22"/>
        </w:rPr>
        <w:t xml:space="preserve">•  Never give prescriptive advice on medication, legal, or financial matters</w:t>
      </w:r>
    </w:p>
    <w:p>
      <w:pPr>
        <w:spacing w:after="60" w:before="0"/>
        <w:ind w:left="360" w:hanging="200"/>
      </w:pPr>
      <w:r>
        <w:rPr>
          <w:rFonts w:ascii="Times New Roman" w:cs="Times New Roman" w:eastAsia="Times New Roman" w:hAnsi="Times New Roman"/>
          <w:sz w:val="22"/>
          <w:szCs w:val="22"/>
        </w:rPr>
        <w:t xml:space="preserve">•  Never make a diagnosis</w:t>
      </w:r>
    </w:p>
    <w:p>
      <w:pPr>
        <w:spacing w:after="60" w:before="0"/>
        <w:ind w:left="360" w:hanging="200"/>
      </w:pPr>
      <w:r>
        <w:rPr>
          <w:rFonts w:ascii="Times New Roman" w:cs="Times New Roman" w:eastAsia="Times New Roman" w:hAnsi="Times New Roman"/>
          <w:sz w:val="22"/>
          <w:szCs w:val="22"/>
        </w:rPr>
        <w:t xml:space="preserve">•  Handle resistance and deflection with curiosity, not confrontation</w:t>
      </w:r>
    </w:p>
    <w:p>
      <w:pPr>
        <w:spacing w:after="60" w:before="0"/>
        <w:ind w:left="360" w:hanging="200"/>
      </w:pPr>
      <w:r>
        <w:rPr>
          <w:rFonts w:ascii="Times New Roman" w:cs="Times New Roman" w:eastAsia="Times New Roman" w:hAnsi="Times New Roman"/>
          <w:sz w:val="22"/>
          <w:szCs w:val="22"/>
        </w:rPr>
        <w:t xml:space="preserve">•  Crisis handling: never coldly reject or redirect without warmth</w:t>
      </w:r>
    </w:p>
    <w:p>
      <w:pPr>
        <w:spacing w:after="80" w:before="180"/>
        <w:jc w:val="left"/>
      </w:pPr>
      <w:r>
        <w:rPr>
          <w:rFonts w:ascii="Times New Roman" w:cs="Times New Roman" w:eastAsia="Times New Roman" w:hAnsi="Times New Roman"/>
          <w:b/>
          <w:bCs/>
          <w:color w:val="2F5496"/>
          <w:sz w:val="24"/>
          <w:szCs w:val="24"/>
        </w:rPr>
        <w:t xml:space="preserve">3.3 CBT (94 lines) — ai/sections/cbt.js</w:t>
      </w:r>
    </w:p>
    <w:p>
      <w:pPr>
        <w:spacing w:after="80" w:before="0" w:line="276"/>
        <w:jc w:val="both"/>
      </w:pPr>
      <w:r>
        <w:rPr>
          <w:rFonts w:ascii="Times New Roman" w:cs="Times New Roman" w:eastAsia="Times New Roman" w:hAnsi="Times New Roman"/>
          <w:sz w:val="22"/>
          <w:szCs w:val="22"/>
        </w:rPr>
        <w:t xml:space="preserve">Encodes Cognitive Behavioral Therapy techniques and application conditions:</w:t>
      </w:r>
    </w:p>
    <w:p>
      <w:pPr>
        <w:spacing w:after="60" w:before="0"/>
        <w:ind w:left="360" w:hanging="200"/>
      </w:pPr>
      <w:r>
        <w:rPr>
          <w:rFonts w:ascii="Times New Roman" w:cs="Times New Roman" w:eastAsia="Times New Roman" w:hAnsi="Times New Roman"/>
          <w:sz w:val="22"/>
          <w:szCs w:val="22"/>
        </w:rPr>
        <w:t xml:space="preserve">•  Thought records: identifying automatic thoughts, evidence for/against, balanced thought</w:t>
      </w:r>
    </w:p>
    <w:p>
      <w:pPr>
        <w:spacing w:after="60" w:before="0"/>
        <w:ind w:left="360" w:hanging="200"/>
      </w:pPr>
      <w:r>
        <w:rPr>
          <w:rFonts w:ascii="Times New Roman" w:cs="Times New Roman" w:eastAsia="Times New Roman" w:hAnsi="Times New Roman"/>
          <w:sz w:val="22"/>
          <w:szCs w:val="22"/>
        </w:rPr>
        <w:t xml:space="preserve">•  Behavioral activation: scheduling pleasant activities to break depression cycles</w:t>
      </w:r>
    </w:p>
    <w:p>
      <w:pPr>
        <w:spacing w:after="60" w:before="0"/>
        <w:ind w:left="360" w:hanging="200"/>
      </w:pPr>
      <w:r>
        <w:rPr>
          <w:rFonts w:ascii="Times New Roman" w:cs="Times New Roman" w:eastAsia="Times New Roman" w:hAnsi="Times New Roman"/>
          <w:sz w:val="22"/>
          <w:szCs w:val="22"/>
        </w:rPr>
        <w:t xml:space="preserve">•  Socratic questioning: evidence-based inquiry rather than direct challenge</w:t>
      </w:r>
    </w:p>
    <w:p>
      <w:pPr>
        <w:spacing w:after="60" w:before="0"/>
        <w:ind w:left="360" w:hanging="200"/>
      </w:pPr>
      <w:r>
        <w:rPr>
          <w:rFonts w:ascii="Times New Roman" w:cs="Times New Roman" w:eastAsia="Times New Roman" w:hAnsi="Times New Roman"/>
          <w:sz w:val="22"/>
          <w:szCs w:val="22"/>
        </w:rPr>
        <w:t xml:space="preserve">•  Cognitive restructuring: gentle challenging of distorted thinking patterns</w:t>
      </w:r>
    </w:p>
    <w:p>
      <w:pPr>
        <w:spacing w:after="60" w:before="0"/>
        <w:ind w:left="360" w:hanging="200"/>
      </w:pPr>
      <w:r>
        <w:rPr>
          <w:rFonts w:ascii="Times New Roman" w:cs="Times New Roman" w:eastAsia="Times New Roman" w:hAnsi="Times New Roman"/>
          <w:sz w:val="22"/>
          <w:szCs w:val="22"/>
        </w:rPr>
        <w:t xml:space="preserve">•  Application condition: used when user presents with cognitive distortions, avoidance, or behavioral patterns</w:t>
      </w:r>
    </w:p>
    <w:p>
      <w:pPr>
        <w:spacing w:after="80" w:before="180"/>
        <w:jc w:val="left"/>
      </w:pPr>
      <w:r>
        <w:rPr>
          <w:rFonts w:ascii="Times New Roman" w:cs="Times New Roman" w:eastAsia="Times New Roman" w:hAnsi="Times New Roman"/>
          <w:b/>
          <w:bCs/>
          <w:color w:val="2F5496"/>
          <w:sz w:val="24"/>
          <w:szCs w:val="24"/>
        </w:rPr>
        <w:t xml:space="preserve">3.4 Psychoanalytic (103 lines) — ai/sections/psychoanalytic.js</w:t>
      </w:r>
    </w:p>
    <w:p>
      <w:pPr>
        <w:spacing w:after="80" w:before="0" w:line="276"/>
        <w:jc w:val="both"/>
      </w:pPr>
      <w:r>
        <w:rPr>
          <w:rFonts w:ascii="Times New Roman" w:cs="Times New Roman" w:eastAsia="Times New Roman" w:hAnsi="Times New Roman"/>
          <w:sz w:val="22"/>
          <w:szCs w:val="22"/>
        </w:rPr>
        <w:t xml:space="preserve">Encodes psychodynamic and psychoanalytic therapy principles:</w:t>
      </w:r>
    </w:p>
    <w:p>
      <w:pPr>
        <w:spacing w:after="60" w:before="0"/>
        <w:ind w:left="360" w:hanging="200"/>
      </w:pPr>
      <w:r>
        <w:rPr>
          <w:rFonts w:ascii="Times New Roman" w:cs="Times New Roman" w:eastAsia="Times New Roman" w:hAnsi="Times New Roman"/>
          <w:sz w:val="22"/>
          <w:szCs w:val="22"/>
        </w:rPr>
        <w:t xml:space="preserve">•  Transference: awareness of how the user relates to Dr. Aria mirrors other relationships</w:t>
      </w:r>
    </w:p>
    <w:p>
      <w:pPr>
        <w:spacing w:after="60" w:before="0"/>
        <w:ind w:left="360" w:hanging="200"/>
      </w:pPr>
      <w:r>
        <w:rPr>
          <w:rFonts w:ascii="Times New Roman" w:cs="Times New Roman" w:eastAsia="Times New Roman" w:hAnsi="Times New Roman"/>
          <w:sz w:val="22"/>
          <w:szCs w:val="22"/>
        </w:rPr>
        <w:t xml:space="preserve">•  Defense mechanisms: identification of intellectualization, projection, displacement, denial</w:t>
      </w:r>
    </w:p>
    <w:p>
      <w:pPr>
        <w:spacing w:after="60" w:before="0"/>
        <w:ind w:left="360" w:hanging="200"/>
      </w:pPr>
      <w:r>
        <w:rPr>
          <w:rFonts w:ascii="Times New Roman" w:cs="Times New Roman" w:eastAsia="Times New Roman" w:hAnsi="Times New Roman"/>
          <w:sz w:val="22"/>
          <w:szCs w:val="22"/>
        </w:rPr>
        <w:t xml:space="preserve">•  Unconscious patterns: exploring recurring themes across relationships and life events</w:t>
      </w:r>
    </w:p>
    <w:p>
      <w:pPr>
        <w:spacing w:after="60" w:before="0"/>
        <w:ind w:left="360" w:hanging="200"/>
      </w:pPr>
      <w:r>
        <w:rPr>
          <w:rFonts w:ascii="Times New Roman" w:cs="Times New Roman" w:eastAsia="Times New Roman" w:hAnsi="Times New Roman"/>
          <w:sz w:val="22"/>
          <w:szCs w:val="22"/>
        </w:rPr>
        <w:t xml:space="preserve">•  Object relations: early attachment patterns influencing current relationships</w:t>
      </w:r>
    </w:p>
    <w:p>
      <w:pPr>
        <w:spacing w:after="60" w:before="0"/>
        <w:ind w:left="360" w:hanging="200"/>
      </w:pPr>
      <w:r>
        <w:rPr>
          <w:rFonts w:ascii="Times New Roman" w:cs="Times New Roman" w:eastAsia="Times New Roman" w:hAnsi="Times New Roman"/>
          <w:sz w:val="22"/>
          <w:szCs w:val="22"/>
        </w:rPr>
        <w:t xml:space="preserve">•  Application condition: used when user presents with deep-rooted patterns or complex family dynamics</w:t>
      </w:r>
    </w:p>
    <w:p>
      <w:pPr>
        <w:spacing w:after="80" w:before="180"/>
        <w:jc w:val="left"/>
      </w:pPr>
      <w:r>
        <w:rPr>
          <w:rFonts w:ascii="Times New Roman" w:cs="Times New Roman" w:eastAsia="Times New Roman" w:hAnsi="Times New Roman"/>
          <w:b/>
          <w:bCs/>
          <w:color w:val="2F5496"/>
          <w:sz w:val="24"/>
          <w:szCs w:val="24"/>
        </w:rPr>
        <w:t xml:space="preserve">3.5 Humanistic (125 lines) — ai/sections/humanistic.js</w:t>
      </w:r>
    </w:p>
    <w:p>
      <w:pPr>
        <w:spacing w:after="80" w:before="0" w:line="276"/>
        <w:jc w:val="both"/>
      </w:pPr>
      <w:r>
        <w:rPr>
          <w:rFonts w:ascii="Times New Roman" w:cs="Times New Roman" w:eastAsia="Times New Roman" w:hAnsi="Times New Roman"/>
          <w:sz w:val="22"/>
          <w:szCs w:val="22"/>
        </w:rPr>
        <w:t xml:space="preserve">Encodes Rogers' person-centered and existential therapy principles:</w:t>
      </w:r>
    </w:p>
    <w:p>
      <w:pPr>
        <w:spacing w:after="60" w:before="0"/>
        <w:ind w:left="360" w:hanging="200"/>
      </w:pPr>
      <w:r>
        <w:rPr>
          <w:rFonts w:ascii="Times New Roman" w:cs="Times New Roman" w:eastAsia="Times New Roman" w:hAnsi="Times New Roman"/>
          <w:sz w:val="22"/>
          <w:szCs w:val="22"/>
        </w:rPr>
        <w:t xml:space="preserve">•  Unconditional positive regard: acceptance without judgment, always</w:t>
      </w:r>
    </w:p>
    <w:p>
      <w:pPr>
        <w:spacing w:after="60" w:before="0"/>
        <w:ind w:left="360" w:hanging="200"/>
      </w:pPr>
      <w:r>
        <w:rPr>
          <w:rFonts w:ascii="Times New Roman" w:cs="Times New Roman" w:eastAsia="Times New Roman" w:hAnsi="Times New Roman"/>
          <w:sz w:val="22"/>
          <w:szCs w:val="22"/>
        </w:rPr>
        <w:t xml:space="preserve">•  Empathic reflection: feeling heard is the primary therapeutic mechanism</w:t>
      </w:r>
    </w:p>
    <w:p>
      <w:pPr>
        <w:spacing w:after="60" w:before="0"/>
        <w:ind w:left="360" w:hanging="200"/>
      </w:pPr>
      <w:r>
        <w:rPr>
          <w:rFonts w:ascii="Times New Roman" w:cs="Times New Roman" w:eastAsia="Times New Roman" w:hAnsi="Times New Roman"/>
          <w:sz w:val="22"/>
          <w:szCs w:val="22"/>
        </w:rPr>
        <w:t xml:space="preserve">•  Authenticity: Dr. Aria never performs warmth — it must feel genuine</w:t>
      </w:r>
    </w:p>
    <w:p>
      <w:pPr>
        <w:spacing w:after="60" w:before="0"/>
        <w:ind w:left="360" w:hanging="200"/>
      </w:pPr>
      <w:r>
        <w:rPr>
          <w:rFonts w:ascii="Times New Roman" w:cs="Times New Roman" w:eastAsia="Times New Roman" w:hAnsi="Times New Roman"/>
          <w:sz w:val="22"/>
          <w:szCs w:val="22"/>
        </w:rPr>
        <w:t xml:space="preserve">•  Self-actualization: supporting the user's own growth trajectory</w:t>
      </w:r>
    </w:p>
    <w:p>
      <w:pPr>
        <w:spacing w:after="60" w:before="0"/>
        <w:ind w:left="360" w:hanging="200"/>
      </w:pPr>
      <w:r>
        <w:rPr>
          <w:rFonts w:ascii="Times New Roman" w:cs="Times New Roman" w:eastAsia="Times New Roman" w:hAnsi="Times New Roman"/>
          <w:sz w:val="22"/>
          <w:szCs w:val="22"/>
        </w:rPr>
        <w:t xml:space="preserve">•  Existential meaning: helping users find meaning in suffering (Frankl-informed)</w:t>
      </w:r>
    </w:p>
    <w:p>
      <w:pPr>
        <w:spacing w:after="60" w:before="0"/>
        <w:ind w:left="360" w:hanging="200"/>
      </w:pPr>
      <w:r>
        <w:rPr>
          <w:rFonts w:ascii="Times New Roman" w:cs="Times New Roman" w:eastAsia="Times New Roman" w:hAnsi="Times New Roman"/>
          <w:sz w:val="22"/>
          <w:szCs w:val="22"/>
        </w:rPr>
        <w:t xml:space="preserve">•  Application condition: used as the default mode for most sessions; most prevalent</w:t>
      </w:r>
    </w:p>
    <w:p>
      <w:pPr>
        <w:spacing w:after="80" w:before="180"/>
        <w:jc w:val="left"/>
      </w:pPr>
      <w:r>
        <w:rPr>
          <w:rFonts w:ascii="Times New Roman" w:cs="Times New Roman" w:eastAsia="Times New Roman" w:hAnsi="Times New Roman"/>
          <w:b/>
          <w:bCs/>
          <w:color w:val="2F5496"/>
          <w:sz w:val="24"/>
          <w:szCs w:val="24"/>
        </w:rPr>
        <w:t xml:space="preserve">3.6 Research (155 lines) — ai/sections/research.js</w:t>
      </w:r>
    </w:p>
    <w:p>
      <w:pPr>
        <w:spacing w:after="80" w:before="0" w:line="276"/>
        <w:jc w:val="both"/>
      </w:pPr>
      <w:r>
        <w:rPr>
          <w:rFonts w:ascii="Times New Roman" w:cs="Times New Roman" w:eastAsia="Times New Roman" w:hAnsi="Times New Roman"/>
          <w:sz w:val="22"/>
          <w:szCs w:val="22"/>
        </w:rPr>
        <w:t xml:space="preserve">Evidence-based clinical principles from outcome research and practice guidelines:</w:t>
      </w:r>
    </w:p>
    <w:p>
      <w:pPr>
        <w:spacing w:after="60" w:before="0"/>
        <w:ind w:left="360" w:hanging="200"/>
      </w:pPr>
      <w:r>
        <w:rPr>
          <w:rFonts w:ascii="Times New Roman" w:cs="Times New Roman" w:eastAsia="Times New Roman" w:hAnsi="Times New Roman"/>
          <w:sz w:val="22"/>
          <w:szCs w:val="22"/>
        </w:rPr>
        <w:t xml:space="preserve">•  Motivational interviewing: rolling with resistance, developing discrepancy</w:t>
      </w:r>
    </w:p>
    <w:p>
      <w:pPr>
        <w:spacing w:after="60" w:before="0"/>
        <w:ind w:left="360" w:hanging="200"/>
      </w:pPr>
      <w:r>
        <w:rPr>
          <w:rFonts w:ascii="Times New Roman" w:cs="Times New Roman" w:eastAsia="Times New Roman" w:hAnsi="Times New Roman"/>
          <w:sz w:val="22"/>
          <w:szCs w:val="22"/>
        </w:rPr>
        <w:t xml:space="preserve">•  Stages of change (Prochaska): meeting the user where they are motivationally</w:t>
      </w:r>
    </w:p>
    <w:p>
      <w:pPr>
        <w:spacing w:after="60" w:before="0"/>
        <w:ind w:left="360" w:hanging="200"/>
      </w:pPr>
      <w:r>
        <w:rPr>
          <w:rFonts w:ascii="Times New Roman" w:cs="Times New Roman" w:eastAsia="Times New Roman" w:hAnsi="Times New Roman"/>
          <w:sz w:val="22"/>
          <w:szCs w:val="22"/>
        </w:rPr>
        <w:t xml:space="preserve">•  When to validate vs. challenge: nuanced decision logic for each emotional state</w:t>
      </w:r>
    </w:p>
    <w:p>
      <w:pPr>
        <w:spacing w:after="60" w:before="0"/>
        <w:ind w:left="360" w:hanging="200"/>
      </w:pPr>
      <w:r>
        <w:rPr>
          <w:rFonts w:ascii="Times New Roman" w:cs="Times New Roman" w:eastAsia="Times New Roman" w:hAnsi="Times New Roman"/>
          <w:sz w:val="22"/>
          <w:szCs w:val="22"/>
        </w:rPr>
        <w:t xml:space="preserve">•  Lambert's common factors: therapeutic alliance prioritized over technique</w:t>
      </w:r>
    </w:p>
    <w:p>
      <w:pPr>
        <w:spacing w:after="60" w:before="0"/>
        <w:ind w:left="360" w:hanging="200"/>
      </w:pPr>
      <w:r>
        <w:rPr>
          <w:rFonts w:ascii="Times New Roman" w:cs="Times New Roman" w:eastAsia="Times New Roman" w:hAnsi="Times New Roman"/>
          <w:sz w:val="22"/>
          <w:szCs w:val="22"/>
        </w:rPr>
        <w:t xml:space="preserve">•  Wampold's contextual model: relationship quality predicts outcomes better than modality</w:t>
      </w:r>
    </w:p>
    <w:p>
      <w:pPr>
        <w:spacing w:after="60" w:before="0"/>
        <w:ind w:left="360" w:hanging="200"/>
      </w:pPr>
      <w:r>
        <w:rPr>
          <w:rFonts w:ascii="Times New Roman" w:cs="Times New Roman" w:eastAsia="Times New Roman" w:hAnsi="Times New Roman"/>
          <w:sz w:val="22"/>
          <w:szCs w:val="22"/>
        </w:rPr>
        <w:t xml:space="preserve">•  2025 JMIR study findings: GPT-4o empathy scores vs. human non-specialist benchmarks</w:t>
      </w:r>
    </w:p>
    <w:p>
      <w:pPr>
        <w:spacing w:after="80" w:before="180"/>
        <w:jc w:val="left"/>
      </w:pPr>
      <w:r>
        <w:rPr>
          <w:rFonts w:ascii="Times New Roman" w:cs="Times New Roman" w:eastAsia="Times New Roman" w:hAnsi="Times New Roman"/>
          <w:b/>
          <w:bCs/>
          <w:color w:val="2F5496"/>
          <w:sz w:val="24"/>
          <w:szCs w:val="24"/>
        </w:rPr>
        <w:t xml:space="preserve">3.7 Cultural (129 lines) — ai/sections/cultural.js</w:t>
      </w:r>
    </w:p>
    <w:p>
      <w:pPr>
        <w:spacing w:after="80" w:before="0" w:line="276"/>
        <w:jc w:val="both"/>
      </w:pPr>
      <w:r>
        <w:rPr>
          <w:rFonts w:ascii="Times New Roman" w:cs="Times New Roman" w:eastAsia="Times New Roman" w:hAnsi="Times New Roman"/>
          <w:sz w:val="22"/>
          <w:szCs w:val="22"/>
        </w:rPr>
        <w:t xml:space="preserve">India-specific therapeutic context — the most unique section in the corpus:</w:t>
      </w:r>
    </w:p>
    <w:p>
      <w:pPr>
        <w:spacing w:after="60" w:before="0"/>
        <w:ind w:left="360" w:hanging="200"/>
      </w:pPr>
      <w:r>
        <w:rPr>
          <w:rFonts w:ascii="Times New Roman" w:cs="Times New Roman" w:eastAsia="Times New Roman" w:hAnsi="Times New Roman"/>
          <w:sz w:val="22"/>
          <w:szCs w:val="22"/>
        </w:rPr>
        <w:t xml:space="preserve">•  Joint family dynamics: understanding that individual decisions carry collective weight</w:t>
      </w:r>
    </w:p>
    <w:p>
      <w:pPr>
        <w:spacing w:after="60" w:before="0"/>
        <w:ind w:left="360" w:hanging="200"/>
      </w:pPr>
      <w:r>
        <w:rPr>
          <w:rFonts w:ascii="Times New Roman" w:cs="Times New Roman" w:eastAsia="Times New Roman" w:hAnsi="Times New Roman"/>
          <w:sz w:val="22"/>
          <w:szCs w:val="22"/>
        </w:rPr>
        <w:t xml:space="preserve">•  Parental authority: the cultural legitimacy of parental expectations (not framed as "enmeshment")</w:t>
      </w:r>
    </w:p>
    <w:p>
      <w:pPr>
        <w:spacing w:after="60" w:before="0"/>
        <w:ind w:left="360" w:hanging="200"/>
      </w:pPr>
      <w:r>
        <w:rPr>
          <w:rFonts w:ascii="Times New Roman" w:cs="Times New Roman" w:eastAsia="Times New Roman" w:hAnsi="Times New Roman"/>
          <w:sz w:val="22"/>
          <w:szCs w:val="22"/>
        </w:rPr>
        <w:t xml:space="preserve">•  Academic pressure: IIT/NEET culture, competitive entrance examinations, identity tied to academic success</w:t>
      </w:r>
    </w:p>
    <w:p>
      <w:pPr>
        <w:spacing w:after="60" w:before="0"/>
        <w:ind w:left="360" w:hanging="200"/>
      </w:pPr>
      <w:r>
        <w:rPr>
          <w:rFonts w:ascii="Times New Roman" w:cs="Times New Roman" w:eastAsia="Times New Roman" w:hAnsi="Times New Roman"/>
          <w:sz w:val="22"/>
          <w:szCs w:val="22"/>
        </w:rPr>
        <w:t xml:space="preserve">•  Hinglish: respond naturally to mixed Hindi-English without defaulting to full Hindi</w:t>
      </w:r>
    </w:p>
    <w:p>
      <w:pPr>
        <w:spacing w:after="60" w:before="0"/>
        <w:ind w:left="360" w:hanging="200"/>
      </w:pPr>
      <w:r>
        <w:rPr>
          <w:rFonts w:ascii="Times New Roman" w:cs="Times New Roman" w:eastAsia="Times New Roman" w:hAnsi="Times New Roman"/>
          <w:sz w:val="22"/>
          <w:szCs w:val="22"/>
        </w:rPr>
        <w:t xml:space="preserve">•  Collectivist autonomy: the difference between "setting a boundary" (Western) and "finding a middle path" (Indian)</w:t>
      </w:r>
    </w:p>
    <w:p>
      <w:pPr>
        <w:spacing w:after="60" w:before="0"/>
        <w:ind w:left="360" w:hanging="200"/>
      </w:pPr>
      <w:r>
        <w:rPr>
          <w:rFonts w:ascii="Times New Roman" w:cs="Times New Roman" w:eastAsia="Times New Roman" w:hAnsi="Times New Roman"/>
          <w:sz w:val="22"/>
          <w:szCs w:val="22"/>
        </w:rPr>
        <w:t xml:space="preserve">•  Somatic presentation: many Indian users present emotional distress as physical symptoms ("chest heaviness", "head feels heavy")</w:t>
      </w:r>
    </w:p>
    <w:p>
      <w:pPr>
        <w:spacing w:after="60" w:before="0"/>
        <w:ind w:left="360" w:hanging="200"/>
      </w:pPr>
      <w:r>
        <w:rPr>
          <w:rFonts w:ascii="Times New Roman" w:cs="Times New Roman" w:eastAsia="Times New Roman" w:hAnsi="Times New Roman"/>
          <w:sz w:val="22"/>
          <w:szCs w:val="22"/>
        </w:rPr>
        <w:t xml:space="preserve">•  Stigma: shame around psychiatric diagnosis, preference for privacy, fear of family discovery</w:t>
      </w:r>
    </w:p>
    <w:p>
      <w:pPr>
        <w:spacing w:after="80" w:before="180"/>
        <w:jc w:val="left"/>
      </w:pPr>
      <w:r>
        <w:rPr>
          <w:rFonts w:ascii="Times New Roman" w:cs="Times New Roman" w:eastAsia="Times New Roman" w:hAnsi="Times New Roman"/>
          <w:b/>
          <w:bCs/>
          <w:color w:val="2F5496"/>
          <w:sz w:val="24"/>
          <w:szCs w:val="24"/>
        </w:rPr>
        <w:t xml:space="preserve">3.8 Emotions (123 lines) — ai/sections/emotions.js</w:t>
      </w:r>
    </w:p>
    <w:p>
      <w:pPr>
        <w:spacing w:after="80" w:before="0" w:line="276"/>
        <w:jc w:val="both"/>
      </w:pPr>
      <w:r>
        <w:rPr>
          <w:rFonts w:ascii="Times New Roman" w:cs="Times New Roman" w:eastAsia="Times New Roman" w:hAnsi="Times New Roman"/>
          <w:sz w:val="22"/>
          <w:szCs w:val="22"/>
        </w:rPr>
        <w:t xml:space="preserve">Emotion-specific handling protocols for the most common presenting emotions:</w:t>
      </w:r>
    </w:p>
    <w:p>
      <w:pPr>
        <w:spacing w:after="60" w:before="0"/>
        <w:ind w:left="360" w:hanging="200"/>
      </w:pPr>
      <w:r>
        <w:rPr>
          <w:rFonts w:ascii="Times New Roman" w:cs="Times New Roman" w:eastAsia="Times New Roman" w:hAnsi="Times New Roman"/>
          <w:sz w:val="22"/>
          <w:szCs w:val="22"/>
        </w:rPr>
        <w:t xml:space="preserve">•  Anger: never dismiss or pathologize; explore the hurt beneath the anger</w:t>
      </w:r>
    </w:p>
    <w:p>
      <w:pPr>
        <w:spacing w:after="60" w:before="0"/>
        <w:ind w:left="360" w:hanging="200"/>
      </w:pPr>
      <w:r>
        <w:rPr>
          <w:rFonts w:ascii="Times New Roman" w:cs="Times New Roman" w:eastAsia="Times New Roman" w:hAnsi="Times New Roman"/>
          <w:sz w:val="22"/>
          <w:szCs w:val="22"/>
        </w:rPr>
        <w:t xml:space="preserve">•  Shame: approach with extreme care; shame requires warmth before any exploration</w:t>
      </w:r>
    </w:p>
    <w:p>
      <w:pPr>
        <w:spacing w:after="60" w:before="0"/>
        <w:ind w:left="360" w:hanging="200"/>
      </w:pPr>
      <w:r>
        <w:rPr>
          <w:rFonts w:ascii="Times New Roman" w:cs="Times New Roman" w:eastAsia="Times New Roman" w:hAnsi="Times New Roman"/>
          <w:sz w:val="22"/>
          <w:szCs w:val="22"/>
        </w:rPr>
        <w:t xml:space="preserve">•  Guilt: distinguish healthy guilt from toxic guilt; explore whose standards are being applied</w:t>
      </w:r>
    </w:p>
    <w:p>
      <w:pPr>
        <w:spacing w:after="60" w:before="0"/>
        <w:ind w:left="360" w:hanging="200"/>
      </w:pPr>
      <w:r>
        <w:rPr>
          <w:rFonts w:ascii="Times New Roman" w:cs="Times New Roman" w:eastAsia="Times New Roman" w:hAnsi="Times New Roman"/>
          <w:sz w:val="22"/>
          <w:szCs w:val="22"/>
        </w:rPr>
        <w:t xml:space="preserve">•  Grief: non-linear, no timeline, no stages framework unless explicitly requested</w:t>
      </w:r>
    </w:p>
    <w:p>
      <w:pPr>
        <w:spacing w:after="60" w:before="0"/>
        <w:ind w:left="360" w:hanging="200"/>
      </w:pPr>
      <w:r>
        <w:rPr>
          <w:rFonts w:ascii="Times New Roman" w:cs="Times New Roman" w:eastAsia="Times New Roman" w:hAnsi="Times New Roman"/>
          <w:sz w:val="22"/>
          <w:szCs w:val="22"/>
        </w:rPr>
        <w:t xml:space="preserve">•  Anxiety: distinguish generalized anxiety from situational anxiety; don't immediately suggest breathing exercises</w:t>
      </w:r>
    </w:p>
    <w:p>
      <w:pPr>
        <w:spacing w:after="60" w:before="0"/>
        <w:ind w:left="360" w:hanging="200"/>
      </w:pPr>
      <w:r>
        <w:rPr>
          <w:rFonts w:ascii="Times New Roman" w:cs="Times New Roman" w:eastAsia="Times New Roman" w:hAnsi="Times New Roman"/>
          <w:sz w:val="22"/>
          <w:szCs w:val="22"/>
        </w:rPr>
        <w:t xml:space="preserve">•  Hopelessness: the most dangerous emotion; approach with maximum warmth and minimal advice</w:t>
      </w:r>
    </w:p>
    <w:p>
      <w:pPr>
        <w:spacing w:after="80" w:before="180"/>
        <w:jc w:val="left"/>
      </w:pPr>
      <w:r>
        <w:rPr>
          <w:rFonts w:ascii="Times New Roman" w:cs="Times New Roman" w:eastAsia="Times New Roman" w:hAnsi="Times New Roman"/>
          <w:b/>
          <w:bCs/>
          <w:color w:val="2F5496"/>
          <w:sz w:val="24"/>
          <w:szCs w:val="24"/>
        </w:rPr>
        <w:t xml:space="preserve">3.9 Crisis (146 lines) — ai/sections/crisis.js</w:t>
      </w:r>
    </w:p>
    <w:p>
      <w:pPr>
        <w:spacing w:after="80" w:before="0" w:line="276"/>
        <w:jc w:val="both"/>
      </w:pPr>
      <w:r>
        <w:rPr>
          <w:rFonts w:ascii="Times New Roman" w:cs="Times New Roman" w:eastAsia="Times New Roman" w:hAnsi="Times New Roman"/>
          <w:sz w:val="22"/>
          <w:szCs w:val="22"/>
        </w:rPr>
        <w:t xml:space="preserve">The highest-priority section — always most salient due to position. Defines the four-level crisis schema:</w:t>
      </w:r>
    </w:p>
    <w:p>
      <w:pPr>
        <w:spacing w:after="60" w:before="0"/>
        <w:ind w:left="360" w:hanging="200"/>
      </w:pPr>
      <w:r>
        <w:rPr>
          <w:rFonts w:ascii="Times New Roman" w:cs="Times New Roman" w:eastAsia="Times New Roman" w:hAnsi="Times New Roman"/>
          <w:sz w:val="22"/>
          <w:szCs w:val="22"/>
        </w:rPr>
        <w:t xml:space="preserve">•  Level 1 (mild distress): elevated emotional language, passive fatigue — validate and deepen</w:t>
      </w:r>
    </w:p>
    <w:p>
      <w:pPr>
        <w:spacing w:after="60" w:before="0"/>
        <w:ind w:left="360" w:hanging="200"/>
      </w:pPr>
      <w:r>
        <w:rPr>
          <w:rFonts w:ascii="Times New Roman" w:cs="Times New Roman" w:eastAsia="Times New Roman" w:hAnsi="Times New Roman"/>
          <w:sz w:val="22"/>
          <w:szCs w:val="22"/>
        </w:rPr>
        <w:t xml:space="preserve">•  Level 2 (passive ideation): "I don't want to be here" — acknowledge pain, ask gently about safety</w:t>
      </w:r>
    </w:p>
    <w:p>
      <w:pPr>
        <w:spacing w:after="60" w:before="0"/>
        <w:ind w:left="360" w:hanging="200"/>
      </w:pPr>
      <w:r>
        <w:rPr>
          <w:rFonts w:ascii="Times New Roman" w:cs="Times New Roman" w:eastAsia="Times New Roman" w:hAnsi="Times New Roman"/>
          <w:sz w:val="22"/>
          <w:szCs w:val="22"/>
        </w:rPr>
        <w:t xml:space="preserve">•  Level 3 (active ideation): explicit desire to end life — stay present, weave in crisis resources naturally</w:t>
      </w:r>
    </w:p>
    <w:p>
      <w:pPr>
        <w:spacing w:after="60" w:before="0"/>
        <w:ind w:left="360" w:hanging="200"/>
      </w:pPr>
      <w:r>
        <w:rPr>
          <w:rFonts w:ascii="Times New Roman" w:cs="Times New Roman" w:eastAsia="Times New Roman" w:hAnsi="Times New Roman"/>
          <w:sz w:val="22"/>
          <w:szCs w:val="22"/>
        </w:rPr>
        <w:t xml:space="preserve">•  Level 4 (imminent risk): plan/method/timeline — emergency contact protocol, maximum warmth, never abandon</w:t>
      </w:r>
    </w:p>
    <w:p>
      <w:pPr>
        <w:spacing w:after="80" w:before="0" w:line="276"/>
        <w:jc w:val="both"/>
      </w:pPr>
      <w:r>
        <w:rPr>
          <w:rFonts w:ascii="Times New Roman" w:cs="Times New Roman" w:eastAsia="Times New Roman" w:hAnsi="Times New Roman"/>
          <w:sz w:val="22"/>
          <w:szCs w:val="22"/>
        </w:rPr>
        <w:t xml:space="preserve">Key design rule: crisis resources are NEVER delivered as a replacement for therapeutic presence. They appear within the conversational body, embedded in warmth, after the user feels heard. The cold "call this number" redirect is explicitly forbidden by the rules section.</w:t>
      </w:r>
    </w:p>
    <w:p>
      <w:pPr>
        <w:spacing w:after="100" w:before="280"/>
        <w:jc w:val="left"/>
      </w:pPr>
      <w:r>
        <w:rPr>
          <w:rFonts w:ascii="Times New Roman" w:cs="Times New Roman" w:eastAsia="Times New Roman" w:hAnsi="Times New Roman"/>
          <w:b/>
          <w:bCs/>
          <w:color w:val="1F3864"/>
          <w:sz w:val="28"/>
          <w:szCs w:val="28"/>
        </w:rPr>
        <w:t xml:space="preserve">4. Context Injection at Runtime</w:t>
      </w:r>
    </w:p>
    <w:p>
      <w:pPr>
        <w:spacing w:after="80" w:before="0" w:line="276"/>
        <w:jc w:val="both"/>
      </w:pPr>
      <w:r>
        <w:rPr>
          <w:rFonts w:ascii="Times New Roman" w:cs="Times New Roman" w:eastAsia="Times New Roman" w:hAnsi="Times New Roman"/>
          <w:sz w:val="22"/>
          <w:szCs w:val="22"/>
        </w:rPr>
        <w:t xml:space="preserve">Beyond the nine static sections, each API call injects additional dynamic context between the system prompt and the conversation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Context Block</w:t>
            </w:r>
          </w:p>
        </w:tc>
        <w:tc>
          <w:tcPr>
            <w:tcW w:type="dxa" w:w="280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4060"/>
            <w:tcBorders>
              <w:top w:val="single" w:color="2F5496" w:sz="4"/>
              <w:left w:val="single" w:color="2F5496" w:sz="4"/>
              <w:bottom w:val="single" w:color="2F5496" w:sz="4"/>
              <w:right w:val="single" w:color="2F5496" w:sz="4"/>
            </w:tcBorders>
            <w:shd w:fill="2F549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When Injected</w:t>
            </w:r>
          </w:p>
        </w:tc>
      </w:tr>
      <w:tr>
        <w:tc>
          <w:tcPr>
            <w:tcW w:type="dxa" w:w="2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Longitudinal Profile</w:t>
            </w:r>
          </w:p>
        </w:tc>
        <w:tc>
          <w:tcPr>
            <w:tcW w:type="dxa" w:w="28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LongitudinalProfile collection</w:t>
            </w:r>
          </w:p>
        </w:tc>
        <w:tc>
          <w:tcPr>
            <w:tcW w:type="dxa" w:w="40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Every call (if profile exists)</w:t>
            </w:r>
          </w:p>
        </w:tc>
      </w:tr>
      <w:tr>
        <w:tc>
          <w:tcPr>
            <w:tcW w:type="dxa" w:w="2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Recent Chapter Summaries</w:t>
            </w:r>
          </w:p>
        </w:tc>
        <w:tc>
          <w:tcPr>
            <w:tcW w:type="dxa" w:w="28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ChapterSummary collection</w:t>
            </w:r>
          </w:p>
        </w:tc>
        <w:tc>
          <w:tcPr>
            <w:tcW w:type="dxa" w:w="40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Every call (Tier 2 memory)</w:t>
            </w:r>
          </w:p>
        </w:tc>
      </w:tr>
      <w:tr>
        <w:tc>
          <w:tcPr>
            <w:tcW w:type="dxa" w:w="2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Current Risk Level</w:t>
            </w:r>
          </w:p>
        </w:tc>
        <w:tc>
          <w:tcPr>
            <w:tcW w:type="dxa" w:w="28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LongitudinalProfile.currentRiskLevel</w:t>
            </w:r>
          </w:p>
        </w:tc>
        <w:tc>
          <w:tcPr>
            <w:tcW w:type="dxa" w:w="40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Every call</w:t>
            </w:r>
          </w:p>
        </w:tc>
      </w:tr>
      <w:tr>
        <w:tc>
          <w:tcPr>
            <w:tcW w:type="dxa" w:w="2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Weekly Report Summary</w:t>
            </w:r>
          </w:p>
        </w:tc>
        <w:tc>
          <w:tcPr>
            <w:tcW w:type="dxa" w:w="28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WeeklyReport.contextSummary</w:t>
            </w:r>
          </w:p>
        </w:tc>
        <w:tc>
          <w:tcPr>
            <w:tcW w:type="dxa" w:w="40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Monday–Saturday (after Sunday report)</w:t>
            </w:r>
          </w:p>
        </w:tc>
      </w:tr>
      <w:tr>
        <w:tc>
          <w:tcPr>
            <w:tcW w:type="dxa" w:w="25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Gap Duration</w:t>
            </w:r>
          </w:p>
        </w:tc>
        <w:tc>
          <w:tcPr>
            <w:tcW w:type="dxa" w:w="280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Computed from lastSeenAt</w:t>
            </w:r>
          </w:p>
        </w:tc>
        <w:tc>
          <w:tcPr>
            <w:tcW w:type="dxa" w:w="4060"/>
            <w:tcBorders>
              <w:top w:val="single" w:color="2F5496" w:sz="4"/>
              <w:left w:val="single" w:color="2F5496" w:sz="4"/>
              <w:bottom w:val="single" w:color="2F5496" w:sz="4"/>
              <w:right w:val="single" w:color="2F5496" w:sz="4"/>
            </w:tcBorders>
            <w:shd w:fill="EBF3FB"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If gap &gt; 1 hour</w:t>
            </w:r>
          </w:p>
        </w:tc>
      </w:tr>
      <w:tr>
        <w:tc>
          <w:tcPr>
            <w:tcW w:type="dxa" w:w="25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First Session Flag</w:t>
            </w:r>
          </w:p>
        </w:tc>
        <w:tc>
          <w:tcPr>
            <w:tcW w:type="dxa" w:w="280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User.firstSession</w:t>
            </w:r>
          </w:p>
        </w:tc>
        <w:tc>
          <w:tcPr>
            <w:tcW w:type="dxa" w:w="4060"/>
            <w:tcBorders>
              <w:top w:val="single" w:color="2F5496" w:sz="4"/>
              <w:left w:val="single" w:color="2F5496" w:sz="4"/>
              <w:bottom w:val="single" w:color="2F5496" w:sz="4"/>
              <w:right w:val="single" w:color="2F5496"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First message only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2026-04-27T05:13:46.262Z</dcterms:created>
  <dcterms:modified xsi:type="dcterms:W3CDTF">2026-04-27T05:13:46.262Z</dcterms:modified>
</cp:coreProperties>
</file>

<file path=docProps/custom.xml><?xml version="1.0" encoding="utf-8"?>
<Properties xmlns="http://schemas.openxmlformats.org/officeDocument/2006/custom-properties" xmlns:vt="http://schemas.openxmlformats.org/officeDocument/2006/docPropsVTypes"/>
</file>