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Times New Roman" w:cs="Times New Roman" w:eastAsia="Times New Roman" w:hAnsi="Times New Roman"/>
          <w:b/>
          <w:bCs/>
          <w:sz w:val="48"/>
          <w:szCs w:val="48"/>
        </w:rPr>
        <w:t xml:space="preserve">Dr. Aria: An AI-Powered Psychotherapist with Longitudinal Memory, Multi-Modal Therapy, and Crisis Detection</w:t>
      </w:r>
    </w:p>
    <w:p>
      <w:r>
        <w:t xml:space="preserve"/>
      </w:r>
    </w:p>
    <w:p>
      <w:pPr>
        <w:spacing w:after="0" w:before="0"/>
        <w:jc w:val="center"/>
      </w:pPr>
      <w:r>
        <w:rPr>
          <w:rFonts w:ascii="Times New Roman" w:cs="Times New Roman" w:eastAsia="Times New Roman" w:hAnsi="Times New Roman"/>
          <w:b/>
          <w:bCs/>
          <w:sz w:val="20"/>
          <w:szCs w:val="20"/>
        </w:rPr>
        <w:t xml:space="preserve">Pratik Gond, Neha Roy, Kush Bohare</w:t>
      </w:r>
    </w:p>
    <w:p>
      <w:pPr>
        <w:spacing w:after="0" w:before="0"/>
        <w:jc w:val="center"/>
      </w:pPr>
      <w:r>
        <w:rPr>
          <w:rFonts w:ascii="Times New Roman" w:cs="Times New Roman" w:eastAsia="Times New Roman" w:hAnsi="Times New Roman"/>
          <w:sz w:val="20"/>
          <w:szCs w:val="20"/>
        </w:rPr>
        <w:t xml:space="preserve">Department of Computer Science and Engineering</w:t>
      </w:r>
    </w:p>
    <w:p>
      <w:pPr>
        <w:spacing w:after="0" w:before="0"/>
        <w:jc w:val="center"/>
      </w:pPr>
      <w:r>
        <w:rPr>
          <w:rFonts w:ascii="Times New Roman" w:cs="Times New Roman" w:eastAsia="Times New Roman" w:hAnsi="Times New Roman"/>
          <w:i/>
          <w:iCs/>
          <w:sz w:val="20"/>
          <w:szCs w:val="20"/>
        </w:rPr>
        <w:t xml:space="preserve">NIT Kurukshetra, India</w:t>
      </w:r>
    </w:p>
    <w:p>
      <w:pPr>
        <w:spacing w:after="200" w:before="0"/>
        <w:jc w:val="center"/>
      </w:pPr>
      <w:r>
        <w:rPr>
          <w:rFonts w:ascii="Times New Roman" w:cs="Times New Roman" w:eastAsia="Times New Roman" w:hAnsi="Times New Roman"/>
          <w:sz w:val="20"/>
          <w:szCs w:val="20"/>
        </w:rPr>
        <w:t xml:space="preserve">{123103006, 123303002, 123103005}@university.edu</w:t>
      </w:r>
    </w:p>
    <w:p>
      <w:pPr>
        <w:pBdr>
          <w:bottom w:val="single" w:color="000000" w:sz="6" w:space="1"/>
        </w:pBdr>
      </w:pPr>
      <w:r>
        <w:t xml:space="preserve"/>
      </w:r>
    </w:p>
    <w:p>
      <w:r>
        <w:t xml:space="preserve"/>
      </w:r>
    </w:p>
    <w:p>
      <w:pPr>
        <w:sectPr>
          <w:footerReference w:type="default" r:id="rId7"/>
          <w:pgSz w:w="12240" w:h="15840" w:orient="portrait"/>
          <w:pgMar w:top="1080" w:right="1080" w:bottom="1080" w:left="1080" w:header="708" w:footer="708" w:gutter="0"/>
          <w:pgNumType/>
          <w:docGrid w:linePitch="360"/>
        </w:sectPr>
      </w:pPr>
    </w:p>
    <w:p>
      <w:pPr>
        <w:spacing w:after="60" w:before="0"/>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sz w:val="18"/>
          <w:szCs w:val="18"/>
        </w:rPr>
        <w:t xml:space="preserve">Mental health support remains inaccessible to millions worldwide due to provider shortages, cultural stigma, and cost barriers. We present Dr. Aria, an AI-powered psychotherapy system built on OpenAI GPT-4o with a nine-section modular prompt architecture encoding Cognitive Behavioral Therapy (CBT), Humanistic, and Psychoanalytic therapeutic modalities at clinical depth. The system features a silent asynchronous clinical observer, a three-tier hierarchical memory system combining verbatim history, compressed chapter summaries, and a living longitudinal user profile, and a four-level crisis detection framework that maintains therapeutic presence without interrupting dialogue. End-to-end AES-256-GCM encryption is offered in two user-selectable modes. Built on Next.js 16 and Node.js/Express 5 with MongoDB persistence, Dr. Aria achieves a median time-to-first-token (TTFT) of 843 ms and 20.7 tokens per second under GPT-4o. Evaluation across eight standardized clinical scenarios demonstrates therapeutic quality, cultural competency for Indian users including Hinglish support, and robust jailbreak resistance. Weekly automated clinical summaries enable longitudinal therapy tracking with explicit user consent.</w:t>
      </w:r>
    </w:p>
    <w:p>
      <w:pPr>
        <w:spacing w:after="120" w:before="0"/>
        <w:jc w:val="both"/>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sz w:val="18"/>
          <w:szCs w:val="18"/>
        </w:rPr>
        <w:t xml:space="preserve">AI psychotherapy, mental health chatbot, GPT-4o, cognitive behavioral therapy, crisis detection, longitudinal memory, AES-256-GCM, conversational AI, large language models, India.</w:t>
      </w:r>
    </w:p>
    <w:p>
      <w:pPr>
        <w:spacing w:after="60" w:before="120"/>
        <w:jc w:val="center"/>
      </w:pPr>
      <w:r>
        <w:rPr>
          <w:rFonts w:ascii="Times New Roman" w:cs="Times New Roman" w:eastAsia="Times New Roman" w:hAnsi="Times New Roman"/>
          <w:b/>
          <w:bCs/>
          <w:caps/>
          <w:sz w:val="20"/>
          <w:szCs w:val="20"/>
        </w:rPr>
        <w:t xml:space="preserve">I. Introduction and Motivation</w:t>
      </w:r>
    </w:p>
    <w:p>
      <w:pPr>
        <w:spacing w:after="60" w:before="0" w:line="240"/>
        <w:jc w:val="both"/>
      </w:pPr>
      <w:r>
        <w:rPr>
          <w:rFonts w:ascii="Times New Roman" w:cs="Times New Roman" w:eastAsia="Times New Roman" w:hAnsi="Times New Roman"/>
          <w:sz w:val="20"/>
          <w:szCs w:val="20"/>
        </w:rPr>
        <w:t xml:space="preserve">Mental health has emerged as one of the defining crises of the 21st century. The World Health Organization (WHO) reports that approximately 280 million people globally suffer from depression, while anxiety disorders affect an additional 301 million [1]. In India specifically, the National Mental Health Survey estimates that 10.6% of adults require mental health care, yet the country maintains fewer than 0.3 psychiatrists per 100,000 population—a ratio far below the WHO-recommended minimum of 1 per 100,000 [2]. This structural shortage translates directly into multi-month waiting periods, crisis escalation, and preventable deterioration.</w:t>
      </w:r>
    </w:p>
    <w:p>
      <w:pPr>
        <w:spacing w:after="60" w:before="0" w:line="240"/>
        <w:jc w:val="both"/>
      </w:pPr>
      <w:r>
        <w:rPr>
          <w:rFonts w:ascii="Times New Roman" w:cs="Times New Roman" w:eastAsia="Times New Roman" w:hAnsi="Times New Roman"/>
          <w:sz w:val="20"/>
          <w:szCs w:val="20"/>
        </w:rPr>
        <w:t xml:space="preserve">The access gap is compounded by three interconnected barriers. First, the global shortage of trained mental health professionals creates long waiting lists during which untreated conditions worsen. Second, persistent stigma surrounding mental illness—particularly pronounced in collectivist South Asian cultures—prevents individuals from seeking help even when services are available. Many users would rather endure prolonged distress than risk social judgement by consulting a human therapist. Third, the financial cost of therapy sessions ($100–300 per hour in developed markets, equivalent barriers in India) places consistent care beyond reach for the majority of the population.</w:t>
      </w:r>
    </w:p>
    <w:p>
      <w:pPr>
        <w:spacing w:after="60" w:before="0" w:line="240"/>
        <w:jc w:val="both"/>
      </w:pPr>
      <w:r>
        <w:rPr>
          <w:rFonts w:ascii="Times New Roman" w:cs="Times New Roman" w:eastAsia="Times New Roman" w:hAnsi="Times New Roman"/>
          <w:sz w:val="20"/>
          <w:szCs w:val="20"/>
        </w:rPr>
        <w:t xml:space="preserve">Digital mental health interventions have emerged as a promising complement to traditional care. Smartphone-delivered programmes, cognitive training applications, and AI-powered chatbots have demonstrated measurable efficacy for mild-to-moderate conditions in randomised controlled trials [3]. However, existing AI-based systems suffer from critical architectural limitations: they are confined to a single therapeutic modality (typically CBT), they lack persistent memory across sessions, they are designed for Western users without cultural adaptation, and they handle crisis moments through abrupt cold redirections that damage therapeutic rapport at precisely the most critical moment.</w:t>
      </w:r>
    </w:p>
    <w:p>
      <w:pPr>
        <w:spacing w:after="60" w:before="0" w:line="240"/>
        <w:jc w:val="both"/>
      </w:pPr>
      <w:r>
        <w:rPr>
          <w:rFonts w:ascii="Times New Roman" w:cs="Times New Roman" w:eastAsia="Times New Roman" w:hAnsi="Times New Roman"/>
          <w:sz w:val="20"/>
          <w:szCs w:val="20"/>
        </w:rPr>
        <w:t xml:space="preserve">Dr. Aria addresses these gaps through a purpose-built architecture that contributes four principal innovations: (1) a nine-section modular prompt corpus encoding three therapeutic modalities at clinical depth, informed by landmark research in psychotherapy outcome science [13, 14]; (2) a three-tier hierarchical memory system enabling indefinite therapeutic continuity without context window saturation; (3) a silent asynchronous four-level crisis detection framework that maintains therapeutic presence while tracking risk; and (4) a dual-mode AES-256-GCM encryption design allowing users to choose between server-assisted functionality and zero-knowledge privacy.</w:t>
      </w:r>
    </w:p>
    <w:p>
      <w:pPr>
        <w:spacing w:after="60" w:before="0" w:line="240"/>
        <w:jc w:val="both"/>
      </w:pPr>
      <w:r>
        <w:rPr>
          <w:rFonts w:ascii="Times New Roman" w:cs="Times New Roman" w:eastAsia="Times New Roman" w:hAnsi="Times New Roman"/>
          <w:sz w:val="20"/>
          <w:szCs w:val="20"/>
        </w:rPr>
        <w:t xml:space="preserve">The system is designed specifically for Indian users, encoding joint family dynamics, Hinglish code-switching, collectivist value systems, and South Asian stigma patterns—cultural factors absent from all existing Western-designed AI mental health tools. Dr. Aria is deployed as an open-source project at github.com/pratik2374/AI-pyschologist, enabling community auditing of its safety protocols and therapeutic quality, and is live at ai-pyschologist-production.up.railway.app.</w:t>
      </w:r>
    </w:p>
    <w:p>
      <w:pPr>
        <w:spacing w:after="60" w:before="0" w:line="240"/>
        <w:jc w:val="both"/>
      </w:pPr>
      <w:r>
        <w:rPr>
          <w:rFonts w:ascii="Times New Roman" w:cs="Times New Roman" w:eastAsia="Times New Roman" w:hAnsi="Times New Roman"/>
          <w:sz w:val="20"/>
          <w:szCs w:val="20"/>
        </w:rPr>
        <w:t xml:space="preserve">Beyond its technical architecture, Dr. Aria makes a distinct contribution at the level of user experience design. The frontend is built around a therapeutic atmosphere philosophy: a breathing screen with a softly animated sage orb serves as a mindfulness threshold before session entry; the encryption mode selection is presented in relational language ('A Continuous Thread' vs. 'The Present Moment') rather than technical terms; and the conversation interface renders all messages in a handwritten cursive script on cream-white paper without chat bubbles, with input placeholder text reading 'Take your time...' and a send affordance labelled 'Share.' This interface design, informed by research on low-barrier disclosure environments [15b], represents a replicable pattern for affectively-appropriate human-computer interaction in the mental health domain.</w:t>
      </w:r>
    </w:p>
    <w:p>
      <w:pPr>
        <w:spacing w:after="60" w:before="0" w:line="240"/>
        <w:jc w:val="both"/>
      </w:pPr>
      <w:r>
        <w:rPr>
          <w:rFonts w:ascii="Times New Roman" w:cs="Times New Roman" w:eastAsia="Times New Roman" w:hAnsi="Times New Roman"/>
          <w:sz w:val="20"/>
          <w:szCs w:val="20"/>
        </w:rPr>
        <w:t xml:space="preserve">This paper is structured as follows. Section II reviews related work in AI mental health systems and UX design literature. Section III presents the proposed system architecture across nine subsections, including the UI design philosophy. Section IV describes the experimental setup and results from a twelve-case clinical evaluation scorecard. Section V provides a comparative analysis against four leading platforms. Section VI concludes with future directions.</w:t>
      </w:r>
    </w:p>
    <w:p>
      <w:pPr>
        <w:spacing w:after="60" w:before="120"/>
        <w:jc w:val="center"/>
      </w:pPr>
      <w:r>
        <w:rPr>
          <w:rFonts w:ascii="Times New Roman" w:cs="Times New Roman" w:eastAsia="Times New Roman" w:hAnsi="Times New Roman"/>
          <w:b/>
          <w:bCs/>
          <w:caps/>
          <w:sz w:val="20"/>
          <w:szCs w:val="20"/>
        </w:rPr>
        <w:t xml:space="preserve">II. Previous Works</w:t>
      </w:r>
    </w:p>
    <w:p>
      <w:pPr>
        <w:spacing w:after="40" w:before="80"/>
        <w:jc w:val="left"/>
      </w:pPr>
      <w:r>
        <w:rPr>
          <w:rFonts w:ascii="Times New Roman" w:cs="Times New Roman" w:eastAsia="Times New Roman" w:hAnsi="Times New Roman"/>
          <w:i/>
          <w:iCs/>
          <w:sz w:val="20"/>
          <w:szCs w:val="20"/>
        </w:rPr>
        <w:t xml:space="preserve">A. Chatbot-Based Mental Health Systems</w:t>
      </w:r>
    </w:p>
    <w:p>
      <w:pPr>
        <w:spacing w:after="60" w:before="0" w:line="240"/>
        <w:jc w:val="both"/>
      </w:pPr>
      <w:r>
        <w:rPr>
          <w:rFonts w:ascii="Times New Roman" w:cs="Times New Roman" w:eastAsia="Times New Roman" w:hAnsi="Times New Roman"/>
          <w:sz w:val="20"/>
          <w:szCs w:val="20"/>
        </w:rPr>
        <w:t xml:space="preserve">Woebot [4], launched in 2017, was among the first clinically validated AI mental health applications. Its randomised trial by Fitzpatrick et al. demonstrated a significant reduction in PHQ-9 depression scores (mean reduction: 5.82 points, p&lt;0.001) over a two-week intervention period. Woebot delivers Cognitive Behavioral Therapy through structured conversational modules, daily mood check-ins, and psychoeducation content. Despite its clinical validation, Woebot is architecturally constrained to CBT and provides no persistent memory across sessions—each interaction begins without knowledge of prior conversations.</w:t>
      </w:r>
    </w:p>
    <w:p>
      <w:pPr>
        <w:spacing w:after="60" w:before="0" w:line="240"/>
        <w:jc w:val="both"/>
      </w:pPr>
      <w:r>
        <w:rPr>
          <w:rFonts w:ascii="Times New Roman" w:cs="Times New Roman" w:eastAsia="Times New Roman" w:hAnsi="Times New Roman"/>
          <w:sz w:val="20"/>
          <w:szCs w:val="20"/>
        </w:rPr>
        <w:t xml:space="preserve">Wysa [5] extends chatbot therapy with multi-modal self-help tools including sleep improvement programmes, stress management exercises, and mood journaling. Wysa has served millions of users globally and has been evaluated in peer-reviewed studies showing significant reductions in depression and anxiety symptoms. However, Wysa's conversational AI lacks dynamic therapy mode switching and does not synthesise a longitudinal user profile across sessions.</w:t>
      </w:r>
    </w:p>
    <w:p>
      <w:pPr>
        <w:spacing w:after="60" w:before="0" w:line="240"/>
        <w:jc w:val="both"/>
      </w:pPr>
      <w:r>
        <w:rPr>
          <w:rFonts w:ascii="Times New Roman" w:cs="Times New Roman" w:eastAsia="Times New Roman" w:hAnsi="Times New Roman"/>
          <w:sz w:val="20"/>
          <w:szCs w:val="20"/>
        </w:rPr>
        <w:t xml:space="preserve">Replika [6] is an AI companion application widely adopted for emotional support. Its strength lies in relationship-building through persistent memory of user preferences and conversational style. However, Replika does not apply evidence-based therapeutic techniques, lacks structured crisis detection, and has no clinical observer or risk escalation pathway.</w:t>
      </w:r>
    </w:p>
    <w:p>
      <w:pPr>
        <w:spacing w:after="40" w:before="80"/>
        <w:jc w:val="left"/>
      </w:pPr>
      <w:r>
        <w:rPr>
          <w:rFonts w:ascii="Times New Roman" w:cs="Times New Roman" w:eastAsia="Times New Roman" w:hAnsi="Times New Roman"/>
          <w:i/>
          <w:iCs/>
          <w:sz w:val="20"/>
          <w:szCs w:val="20"/>
        </w:rPr>
        <w:t xml:space="preserve">B. Hybrid Human-AI Platforms</w:t>
      </w:r>
    </w:p>
    <w:p>
      <w:pPr>
        <w:spacing w:after="60" w:before="0" w:line="240"/>
        <w:jc w:val="both"/>
      </w:pPr>
      <w:r>
        <w:rPr>
          <w:rFonts w:ascii="Times New Roman" w:cs="Times New Roman" w:eastAsia="Times New Roman" w:hAnsi="Times New Roman"/>
          <w:sz w:val="20"/>
          <w:szCs w:val="20"/>
        </w:rPr>
        <w:t xml:space="preserve">Ginger, now Headspace Health [7], provides on-demand mental health support by connecting users with trained human coaches, therapists, and psychiatrists. Ginger's rigorous clinical governance ensures high therapeutic quality but precludes 24/7 autonomous availability at scale, and its cost structure is incompatible with mass accessibility in price-sensitive markets such as India.</w:t>
      </w:r>
    </w:p>
    <w:p>
      <w:pPr>
        <w:spacing w:after="40" w:before="80"/>
        <w:jc w:val="left"/>
      </w:pPr>
      <w:r>
        <w:rPr>
          <w:rFonts w:ascii="Times New Roman" w:cs="Times New Roman" w:eastAsia="Times New Roman" w:hAnsi="Times New Roman"/>
          <w:i/>
          <w:iCs/>
          <w:sz w:val="20"/>
          <w:szCs w:val="20"/>
        </w:rPr>
        <w:t xml:space="preserve">C. Academic Research</w:t>
      </w:r>
    </w:p>
    <w:p>
      <w:pPr>
        <w:spacing w:after="60" w:before="0" w:line="240"/>
        <w:jc w:val="both"/>
      </w:pPr>
      <w:r>
        <w:rPr>
          <w:rFonts w:ascii="Times New Roman" w:cs="Times New Roman" w:eastAsia="Times New Roman" w:hAnsi="Times New Roman"/>
          <w:sz w:val="20"/>
          <w:szCs w:val="20"/>
        </w:rPr>
        <w:t xml:space="preserve">Inkster et al. [8] demonstrated that an AI companion (Wysa) significantly reduced the severity of self-reported depressive symptoms, establishing that conversational AI can generate clinically meaningful mental health outcomes. Miner et al. [9] conducted a systematic evaluation of commercial AI chatbots' responses to crisis statements—including explicit suicidal ideation—and found that none of the evaluated systems responded appropriately, often producing unhelpful or even harmful outputs. This landmark finding motivated the crisis detection design in Dr. Aria.</w:t>
      </w:r>
    </w:p>
    <w:p>
      <w:pPr>
        <w:spacing w:after="60" w:before="0" w:line="240"/>
        <w:jc w:val="both"/>
      </w:pPr>
      <w:r>
        <w:rPr>
          <w:rFonts w:ascii="Times New Roman" w:cs="Times New Roman" w:eastAsia="Times New Roman" w:hAnsi="Times New Roman"/>
          <w:sz w:val="20"/>
          <w:szCs w:val="20"/>
        </w:rPr>
        <w:t xml:space="preserve">Laranjo et al. [10] reviewed 17 randomised controlled trials of conversational agent interventions and concluded that while chatbots demonstrate promise for behaviour change, long-term engagement and therapeutic depth remain persistent challenges. Hua et al. [11] evaluated GPT-4 for mental health support using standardised empathy assessment instruments, finding GPT-4 performed comparably to non-specialist human responders—a result that motivated GPT-4o as Dr. Aria's primary response model.</w:t>
      </w:r>
    </w:p>
    <w:p>
      <w:pPr>
        <w:spacing w:after="40" w:before="80"/>
        <w:jc w:val="left"/>
      </w:pPr>
      <w:r>
        <w:rPr>
          <w:rFonts w:ascii="Times New Roman" w:cs="Times New Roman" w:eastAsia="Times New Roman" w:hAnsi="Times New Roman"/>
          <w:i/>
          <w:iCs/>
          <w:sz w:val="20"/>
          <w:szCs w:val="20"/>
        </w:rPr>
        <w:t xml:space="preserve">D. User Interface and UX Design in Mental Health AI</w:t>
      </w:r>
    </w:p>
    <w:p>
      <w:pPr>
        <w:spacing w:after="60" w:before="0" w:line="240"/>
        <w:jc w:val="both"/>
      </w:pPr>
      <w:r>
        <w:rPr>
          <w:rFonts w:ascii="Times New Roman" w:cs="Times New Roman" w:eastAsia="Times New Roman" w:hAnsi="Times New Roman"/>
          <w:sz w:val="20"/>
          <w:szCs w:val="20"/>
        </w:rPr>
        <w:t xml:space="preserve">The user experience design of AI mental health applications is a critically underexplored dimension in the existing literature. Most systems—Woebot, Wysa, and similar—deploy conventional chat-bubble interfaces that visually resemble transactional messaging platforms (WhatsApp, iMessage). This design choice may inadvertently signal informality or urgency that conflicts with the therapeutic register. Conversely, clinical-looking interfaces with white backgrounds and structured forms may activate the very stigma that prevents users from seeking help. Kim et al. [15b] found that interface aesthetic significantly moderates self-disclosure rates in mental health applications: participants disclosed 34% more in applications with warm, ambient aesthetics than in clinical-styled counterparts.</w:t>
      </w:r>
    </w:p>
    <w:p>
      <w:pPr>
        <w:spacing w:after="60" w:before="0" w:line="240"/>
        <w:jc w:val="both"/>
      </w:pPr>
      <w:r>
        <w:rPr>
          <w:rFonts w:ascii="Times New Roman" w:cs="Times New Roman" w:eastAsia="Times New Roman" w:hAnsi="Times New Roman"/>
          <w:sz w:val="20"/>
          <w:szCs w:val="20"/>
        </w:rPr>
        <w:t xml:space="preserve">Despite this evidence, no existing AI mental health system has published a design rationale grounded in therapeutic atmosphere research. Dr. Aria's frontend is designed around this principle, producing an interface that is meaningfully differentiated from all reviewed alternatives.</w:t>
      </w:r>
    </w:p>
    <w:p>
      <w:pPr>
        <w:spacing w:after="40" w:before="80"/>
        <w:jc w:val="left"/>
      </w:pPr>
      <w:r>
        <w:rPr>
          <w:rFonts w:ascii="Times New Roman" w:cs="Times New Roman" w:eastAsia="Times New Roman" w:hAnsi="Times New Roman"/>
          <w:i/>
          <w:iCs/>
          <w:sz w:val="20"/>
          <w:szCs w:val="20"/>
        </w:rPr>
        <w:t xml:space="preserve">E. Summary of Gaps</w:t>
      </w:r>
    </w:p>
    <w:p>
      <w:pPr>
        <w:spacing w:after="60" w:before="0" w:line="240"/>
        <w:jc w:val="both"/>
      </w:pPr>
      <w:r>
        <w:rPr>
          <w:rFonts w:ascii="Times New Roman" w:cs="Times New Roman" w:eastAsia="Times New Roman" w:hAnsi="Times New Roman"/>
          <w:sz w:val="20"/>
          <w:szCs w:val="20"/>
        </w:rPr>
        <w:t xml:space="preserve">No existing system integrates: (1) multi-modal therapeutic adaptation across CBT, Humanistic, and Psychoanalytic frameworks; (2) session-persistent longitudinal memory capable of indefinite therapeutic continuity; (3) culturally-aware prompting for non-Western users with Hinglish support; (4) non-disruptive, rapport-preserving crisis detection; and (5) a purpose-built UI designed around therapeutic atmosphere principles rather than conventional chat conventions. Dr. Aria is designed to fill this intersection.</w:t>
      </w:r>
    </w:p>
    <w:p>
      <w:pPr>
        <w:spacing w:after="60" w:before="120"/>
        <w:jc w:val="center"/>
      </w:pPr>
      <w:r>
        <w:rPr>
          <w:rFonts w:ascii="Times New Roman" w:cs="Times New Roman" w:eastAsia="Times New Roman" w:hAnsi="Times New Roman"/>
          <w:b/>
          <w:bCs/>
          <w:caps/>
          <w:sz w:val="20"/>
          <w:szCs w:val="20"/>
        </w:rPr>
        <w:t xml:space="preserve">III. Proposed Solution</w:t>
      </w:r>
    </w:p>
    <w:p>
      <w:pPr>
        <w:spacing w:after="40" w:before="80"/>
        <w:jc w:val="left"/>
      </w:pPr>
      <w:r>
        <w:rPr>
          <w:rFonts w:ascii="Times New Roman" w:cs="Times New Roman" w:eastAsia="Times New Roman" w:hAnsi="Times New Roman"/>
          <w:i/>
          <w:iCs/>
          <w:sz w:val="20"/>
          <w:szCs w:val="20"/>
        </w:rPr>
        <w:t xml:space="preserve">A. System Architecture Overview</w:t>
      </w:r>
    </w:p>
    <w:p>
      <w:pPr>
        <w:spacing w:after="60" w:before="0" w:line="240"/>
        <w:jc w:val="both"/>
      </w:pPr>
      <w:r>
        <w:rPr>
          <w:rFonts w:ascii="Times New Roman" w:cs="Times New Roman" w:eastAsia="Times New Roman" w:hAnsi="Times New Roman"/>
          <w:sz w:val="20"/>
          <w:szCs w:val="20"/>
        </w:rPr>
        <w:t xml:space="preserve">Dr. Aria employs a full-stack web architecture comprising three tiers: a Next.js 16 (React 19, TypeScript 5) frontend; a Node.js/Express 5 backend; and a MongoDB 7.0 persistence layer. The AI orchestration layer sits between the backend and OpenAI's API and comprises seven functional modules: prompt assembly, context building, streaming therapist response, silent observer, chapter compression, profile synthesis, and weekly reporting.</w:t>
      </w:r>
    </w:p>
    <w:p>
      <w:pPr>
        <w:spacing w:after="60" w:before="0" w:line="240"/>
        <w:jc w:val="both"/>
      </w:pPr>
      <w:r>
        <w:rPr>
          <w:rFonts w:ascii="Times New Roman" w:cs="Times New Roman" w:eastAsia="Times New Roman" w:hAnsi="Times New Roman"/>
          <w:sz w:val="20"/>
          <w:szCs w:val="20"/>
        </w:rPr>
        <w:t xml:space="preserve">Each user message traverses the following pipeline. First, JWT authentication middleware validates the session cookie. Second, the context builder assembles the full therapeutic context: recent verbatim messages, compressed chapter summaries from prior sessions, the synthesised longitudinal profile, and the most recent weekly report summary. Third, the nine-section master system prompt is assembled in attention-weighted order. Fourth, GPT-4o streams Dr. Aria's response token-by-token via Server-Sent Events (SSE). Fifth, both messages are AES-256-GCM encrypted and persisted to MongoDB. Sixth, asynchronously, the silent observer analyses the completed exchange.</w:t>
      </w:r>
    </w:p>
    <w:p>
      <w:pPr>
        <w:spacing w:after="40" w:before="80"/>
        <w:jc w:val="left"/>
      </w:pPr>
      <w:r>
        <w:rPr>
          <w:rFonts w:ascii="Times New Roman" w:cs="Times New Roman" w:eastAsia="Times New Roman" w:hAnsi="Times New Roman"/>
          <w:i/>
          <w:iCs/>
          <w:sz w:val="20"/>
          <w:szCs w:val="20"/>
        </w:rPr>
        <w:t xml:space="preserve">B. Nine-Section Modular Prompt Architecture</w:t>
      </w:r>
    </w:p>
    <w:p>
      <w:pPr>
        <w:spacing w:after="60" w:before="0" w:line="240"/>
        <w:jc w:val="both"/>
      </w:pPr>
      <w:r>
        <w:rPr>
          <w:rFonts w:ascii="Times New Roman" w:cs="Times New Roman" w:eastAsia="Times New Roman" w:hAnsi="Times New Roman"/>
          <w:sz w:val="20"/>
          <w:szCs w:val="20"/>
        </w:rPr>
        <w:t xml:space="preserve">The system prompt is assembled from nine discrete sections addressing distinct clinical domains: Persona (118 lines)—Dr. Aria's clinical identity and research-grounded principles; Rules (90 lines)—behavioral constraints including jailbreak resistance; CBT (94 lines)—cognitive-behavioral techniques and application conditions; Psychoanalytic (103 lines)—depth psychology, transference, and defense mechanisms; Humanistic (125 lines)—person-centered, existential, and Rogerian principles; Research (155 lines)—evidence-based principles from motivational interviewing and outcome science; Cultural (129 lines)—India-specific context including joint family dynamics and Hinglish; Emotions (123 lines)—emotion-specific handling protocols for anger, shame, grief, and anxiety; Crisis (146 lines)—four-level risk assessment and rapport-preserving crisis response.</w:t>
      </w:r>
    </w:p>
    <w:p>
      <w:pPr>
        <w:spacing w:after="60" w:before="0" w:line="240"/>
        <w:jc w:val="both"/>
      </w:pPr>
      <w:r>
        <w:rPr>
          <w:rFonts w:ascii="Times New Roman" w:cs="Times New Roman" w:eastAsia="Times New Roman" w:hAnsi="Times New Roman"/>
          <w:sz w:val="20"/>
          <w:szCs w:val="20"/>
        </w:rPr>
        <w:t xml:space="preserve">The assembly order is intentional: sections placed later in the context receive higher attention weight in transformer architectures, making Crisis and Emotions most salient to the model during generation.</w:t>
      </w:r>
    </w:p>
    <w:p>
      <w:pPr>
        <w:spacing w:after="40" w:before="80"/>
        <w:jc w:val="left"/>
      </w:pPr>
      <w:r>
        <w:rPr>
          <w:rFonts w:ascii="Times New Roman" w:cs="Times New Roman" w:eastAsia="Times New Roman" w:hAnsi="Times New Roman"/>
          <w:i/>
          <w:iCs/>
          <w:sz w:val="20"/>
          <w:szCs w:val="20"/>
        </w:rPr>
        <w:t xml:space="preserve">C. Three-Tier Hierarchical Memory System</w:t>
      </w:r>
    </w:p>
    <w:p>
      <w:pPr>
        <w:spacing w:after="60" w:before="0" w:line="240"/>
        <w:jc w:val="both"/>
      </w:pPr>
      <w:r>
        <w:rPr>
          <w:rFonts w:ascii="Times New Roman" w:cs="Times New Roman" w:eastAsia="Times New Roman" w:hAnsi="Times New Roman"/>
          <w:sz w:val="20"/>
          <w:szCs w:val="20"/>
        </w:rPr>
        <w:t xml:space="preserve">Session persistence is achieved through a three-tier memory architecture enabling unlimited therapeutic continuity without context window overflow. Tier 1 (Verbatim History) stores the most recent messages uncompressed, included directly in the context window. Messages are stored with metadata including therapy mode, crisis flag status, and gap duration.</w:t>
      </w:r>
    </w:p>
    <w:p>
      <w:pPr>
        <w:spacing w:after="60" w:before="0" w:line="240"/>
        <w:jc w:val="both"/>
      </w:pPr>
      <w:r>
        <w:rPr>
          <w:rFonts w:ascii="Times New Roman" w:cs="Times New Roman" w:eastAsia="Times New Roman" w:hAnsi="Times New Roman"/>
          <w:sz w:val="20"/>
          <w:szCs w:val="20"/>
        </w:rPr>
        <w:t xml:space="preserve">Tier 2 (Chapter Summaries) is generated automatically when the message count reaches a multiple of 50. A GPT-4o-mini compression pass generates a narrative prose summary capturing key themes, emotional state, therapeutic progress, and episodic moments. Archived raw messages are excluded from future context windows.</w:t>
      </w:r>
    </w:p>
    <w:p>
      <w:pPr>
        <w:spacing w:after="60" w:before="0" w:line="240"/>
        <w:jc w:val="both"/>
      </w:pPr>
      <w:r>
        <w:rPr>
          <w:rFonts w:ascii="Times New Roman" w:cs="Times New Roman" w:eastAsia="Times New Roman" w:hAnsi="Times New Roman"/>
          <w:sz w:val="20"/>
          <w:szCs w:val="20"/>
        </w:rPr>
        <w:t xml:space="preserve">Tier 3 (Longitudinal Profile) is a living clinical document synthesised every five observer chunks (approximately every 25 user messages). It records recurring themes, attachment style, identified effective and ineffective therapeutic approaches, progress markers, episodic memory items, and the current risk level. This profile is injected into every subsequent therapeutic context, enabling Dr. Aria to reference long-term patterns organically.</w:t>
      </w:r>
    </w:p>
    <w:p>
      <w:pPr>
        <w:spacing w:after="40" w:before="80"/>
        <w:jc w:val="left"/>
      </w:pPr>
      <w:r>
        <w:rPr>
          <w:rFonts w:ascii="Times New Roman" w:cs="Times New Roman" w:eastAsia="Times New Roman" w:hAnsi="Times New Roman"/>
          <w:i/>
          <w:iCs/>
          <w:sz w:val="20"/>
          <w:szCs w:val="20"/>
        </w:rPr>
        <w:t xml:space="preserve">D. Silent Clinical Observer</w:t>
      </w:r>
    </w:p>
    <w:p>
      <w:pPr>
        <w:spacing w:after="60" w:before="0" w:line="240"/>
        <w:jc w:val="both"/>
      </w:pPr>
      <w:r>
        <w:rPr>
          <w:rFonts w:ascii="Times New Roman" w:cs="Times New Roman" w:eastAsia="Times New Roman" w:hAnsi="Times New Roman"/>
          <w:sz w:val="20"/>
          <w:szCs w:val="20"/>
        </w:rPr>
        <w:t xml:space="preserve">The silent observer is an asynchronous background process triggered after every five user messages. It submits the recent exchange to GPT-4o-mini with a specialized clinical analysis prompt, returning a structured JSON observation containing: emotional state score (0–10); identified clinical themes; ideation flags (passive ideation, personal suicidal ideation, self-harm signals); session quality assessment; risk trajectory; and breakthrough moment detection. The observer never blocks user-facing response generation; its output flows into the longitudinal profile and crisis flag system without user visibility.</w:t>
      </w:r>
    </w:p>
    <w:p>
      <w:pPr>
        <w:spacing w:after="40" w:before="80"/>
        <w:jc w:val="left"/>
      </w:pPr>
      <w:r>
        <w:rPr>
          <w:rFonts w:ascii="Times New Roman" w:cs="Times New Roman" w:eastAsia="Times New Roman" w:hAnsi="Times New Roman"/>
          <w:i/>
          <w:iCs/>
          <w:sz w:val="20"/>
          <w:szCs w:val="20"/>
        </w:rPr>
        <w:t xml:space="preserve">E. Four-Level Crisis Detection Framework</w:t>
      </w:r>
    </w:p>
    <w:p>
      <w:pPr>
        <w:spacing w:after="60" w:before="0" w:line="240"/>
        <w:jc w:val="both"/>
      </w:pPr>
      <w:r>
        <w:rPr>
          <w:rFonts w:ascii="Times New Roman" w:cs="Times New Roman" w:eastAsia="Times New Roman" w:hAnsi="Times New Roman"/>
          <w:sz w:val="20"/>
          <w:szCs w:val="20"/>
        </w:rPr>
        <w:t xml:space="preserve">Crisis detection operates on a four-level schema. Level 1 (mild distress) captures elevated emotional language and passive fatigue. Level 2 (passive ideation) captures statements such as 'I don't want to be here.' Level 3 (active ideation) captures expressed desire to end one's life without a specific plan. Level 4 (imminent risk) captures ideation with a specific method, timeline, or intent, or repeated Level 3 flagging.</w:t>
      </w:r>
    </w:p>
    <w:p>
      <w:pPr>
        <w:spacing w:after="60" w:before="0" w:line="240"/>
        <w:jc w:val="both"/>
      </w:pPr>
      <w:r>
        <w:rPr>
          <w:rFonts w:ascii="Times New Roman" w:cs="Times New Roman" w:eastAsia="Times New Roman" w:hAnsi="Times New Roman"/>
          <w:sz w:val="20"/>
          <w:szCs w:val="20"/>
        </w:rPr>
        <w:t xml:space="preserve">When any crisis level is detected, a CrisisFlag document is created silently in MongoDB, recording the level, clinical context note, and signal type. The longitudinal profile's currentRiskLevel field is updated. On the following message, Dr. Aria's context includes a risk-level notice. The therapeutic response remains warm and non-rejecting—crisis resources are injected naturally within the message body rather than replacing therapeutic dialogue.</w:t>
      </w:r>
    </w:p>
    <w:p>
      <w:pPr>
        <w:spacing w:after="40" w:before="80"/>
        <w:jc w:val="left"/>
      </w:pPr>
      <w:r>
        <w:rPr>
          <w:rFonts w:ascii="Times New Roman" w:cs="Times New Roman" w:eastAsia="Times New Roman" w:hAnsi="Times New Roman"/>
          <w:i/>
          <w:iCs/>
          <w:sz w:val="20"/>
          <w:szCs w:val="20"/>
        </w:rPr>
        <w:t xml:space="preserve">F. AES-256-GCM Dual Encryption Architecture</w:t>
      </w:r>
    </w:p>
    <w:p>
      <w:pPr>
        <w:spacing w:after="60" w:before="0" w:line="240"/>
        <w:jc w:val="both"/>
      </w:pPr>
      <w:r>
        <w:rPr>
          <w:rFonts w:ascii="Times New Roman" w:cs="Times New Roman" w:eastAsia="Times New Roman" w:hAnsi="Times New Roman"/>
          <w:sz w:val="20"/>
          <w:szCs w:val="20"/>
        </w:rPr>
        <w:t xml:space="preserve">All sensitive data is encrypted using AES-256-GCM with a two-layer key hierarchy. The master encryption key (a 64-character hexadecimal string representing 32 bytes) is stored only in the server environment and never persisted. At user registration, a 32-byte random per-user key is generated, encrypted with the master key, and stored as the EncryptionKeyEncrypted field on the User document.</w:t>
      </w:r>
    </w:p>
    <w:p>
      <w:pPr>
        <w:spacing w:after="60" w:before="0" w:line="240"/>
        <w:jc w:val="both"/>
      </w:pPr>
      <w:r>
        <w:rPr>
          <w:rFonts w:ascii="Times New Roman" w:cs="Times New Roman" w:eastAsia="Times New Roman" w:hAnsi="Times New Roman"/>
          <w:sz w:val="20"/>
          <w:szCs w:val="20"/>
        </w:rPr>
        <w:t xml:space="preserve">Users select from two encryption modes at registration. Mode A (Server-Assisted) allows the server to decrypt message content for the observer, weekly report generation, and longitudinal context injection. Mode B (Zero-Knowledge) stores only ciphertext the server cannot decrypt—the per-user key never leaves the client, and observer, reports, and context injection are disabled in exchange for absolute privacy. Ciphertext is formatted as iv:authTag:ciphertext (all hex-encoded), with a 12-byte IV and 16-byte GCM authentication tag.</w:t>
      </w:r>
    </w:p>
    <w:p>
      <w:pPr>
        <w:spacing w:after="40" w:before="80"/>
        <w:jc w:val="left"/>
      </w:pPr>
      <w:r>
        <w:rPr>
          <w:rFonts w:ascii="Times New Roman" w:cs="Times New Roman" w:eastAsia="Times New Roman" w:hAnsi="Times New Roman"/>
          <w:i/>
          <w:iCs/>
          <w:sz w:val="20"/>
          <w:szCs w:val="20"/>
        </w:rPr>
        <w:t xml:space="preserve">G. Cultural Adaptation for Indian Users</w:t>
      </w:r>
    </w:p>
    <w:p>
      <w:pPr>
        <w:spacing w:after="60" w:before="0" w:line="240"/>
        <w:jc w:val="both"/>
      </w:pPr>
      <w:r>
        <w:rPr>
          <w:rFonts w:ascii="Times New Roman" w:cs="Times New Roman" w:eastAsia="Times New Roman" w:hAnsi="Times New Roman"/>
          <w:sz w:val="20"/>
          <w:szCs w:val="20"/>
        </w:rPr>
        <w:t xml:space="preserve">A dedicated cultural prompt section (129 lines) encodes India-specific therapeutic context absent from Western-designed systems, covering: joint family obligation dynamics and inter-generational authority structures; academic and career pressure in competitive entrance examination environments; Hinglish code-switching, allowing Dr. Aria to respond naturally to mixed Hindi-English input; collectivist value frameworks and the social cost of individual boundary-setting; and stigma patterns specific to South Asian communities.</w:t>
      </w:r>
    </w:p>
    <w:p>
      <w:pPr>
        <w:spacing w:after="60" w:before="0" w:line="240"/>
        <w:jc w:val="both"/>
      </w:pPr>
      <w:r>
        <w:rPr>
          <w:rFonts w:ascii="Times New Roman" w:cs="Times New Roman" w:eastAsia="Times New Roman" w:hAnsi="Times New Roman"/>
          <w:sz w:val="20"/>
          <w:szCs w:val="20"/>
        </w:rPr>
        <w:t xml:space="preserve">This cultural encoding addresses a gap identified in the existing literature: current AI mental health tools are designed for WEIRD (Western, Educated, Industrialized, Rich, Democratic) populations, and their therapeutic frameworks may be counterproductive when applied to users in collectivist cultural contexts [12]. The Hinglish test case (TC8) in the evaluation scorecard demonstrated that Dr. Aria responds naturally to mixed-language input without requesting translation, and validates collectivist family obligations rather than applying individualist therapeutic frameworks — behaviours absent from all competing systems reviewed.</w:t>
      </w:r>
    </w:p>
    <w:p>
      <w:pPr>
        <w:spacing w:after="40" w:before="80"/>
        <w:jc w:val="left"/>
      </w:pPr>
      <w:r>
        <w:rPr>
          <w:rFonts w:ascii="Times New Roman" w:cs="Times New Roman" w:eastAsia="Times New Roman" w:hAnsi="Times New Roman"/>
          <w:i/>
          <w:iCs/>
          <w:sz w:val="20"/>
          <w:szCs w:val="20"/>
        </w:rPr>
        <w:t xml:space="preserve">H. Weekly Report and Cron System</w:t>
      </w:r>
    </w:p>
    <w:p>
      <w:pPr>
        <w:spacing w:after="60" w:before="0" w:line="240"/>
        <w:jc w:val="both"/>
      </w:pPr>
      <w:r>
        <w:rPr>
          <w:rFonts w:ascii="Times New Roman" w:cs="Times New Roman" w:eastAsia="Times New Roman" w:hAnsi="Times New Roman"/>
          <w:sz w:val="20"/>
          <w:szCs w:val="20"/>
        </w:rPr>
        <w:t xml:space="preserve">For Mode A users who opt into weekly reporting, a node-cron job fires every Sunday. The weeklyReporter.js module aggregates the user's week of observations, chapter summaries, and longitudinal profile state into a structured clinical HTML report. This report is emailed via the Resend API, and its two-to-three sentence contextSummary field is injected into Dr. Aria's context on every subsequent session until the next Sunday report replaces it. This creates a weekly clinical rhythm analogous to a therapist reviewing session notes before the next appointment, ensuring that meaningful disclosures from any session in the prior week are carried forward even if they pre-date the most recent verbatim messages.</w:t>
      </w:r>
    </w:p>
    <w:p>
      <w:pPr>
        <w:spacing w:after="60" w:before="0" w:line="240"/>
        <w:jc w:val="both"/>
      </w:pPr>
      <w:r>
        <w:rPr>
          <w:rFonts w:ascii="Times New Roman" w:cs="Times New Roman" w:eastAsia="Times New Roman" w:hAnsi="Times New Roman"/>
          <w:sz w:val="20"/>
          <w:szCs w:val="20"/>
        </w:rPr>
        <w:t xml:space="preserve">The cron system is designed to be fault-tolerant: if the weekly report generation fails due to an API error, the cron is retried at the next scheduled interval. Reports are AES-256-GCM encrypted before storage and decrypted at email-send time. Users may revoke report opt-in at any time via the privacy endpoint, which immediately suppresses the next cron cycle without deleting historical reports.</w:t>
      </w:r>
    </w:p>
    <w:p>
      <w:pPr>
        <w:spacing w:after="40" w:before="80"/>
        <w:jc w:val="left"/>
      </w:pPr>
      <w:r>
        <w:rPr>
          <w:rFonts w:ascii="Times New Roman" w:cs="Times New Roman" w:eastAsia="Times New Roman" w:hAnsi="Times New Roman"/>
          <w:i/>
          <w:iCs/>
          <w:sz w:val="20"/>
          <w:szCs w:val="20"/>
        </w:rPr>
        <w:t xml:space="preserve">I. User Experience Design Philosophy</w:t>
      </w:r>
    </w:p>
    <w:p>
      <w:pPr>
        <w:spacing w:after="60" w:before="0" w:line="240"/>
        <w:jc w:val="both"/>
      </w:pPr>
      <w:r>
        <w:rPr>
          <w:rFonts w:ascii="Times New Roman" w:cs="Times New Roman" w:eastAsia="Times New Roman" w:hAnsi="Times New Roman"/>
          <w:sz w:val="20"/>
          <w:szCs w:val="20"/>
        </w:rPr>
        <w:t xml:space="preserve">The Dr. Aria interface is designed around a single governing principle: therapeutic atmosphere precedes therapeutic content. This principle produces a user experience meaningfully differentiated from all reviewed mental health AI systems, which deploy conventional chat-bubble interfaces visually indistinguishable from transactional messaging platforms. Dr. Aria's frontend architecture consists of three distinctive interaction screens, each serving a distinct clinical purpose.</w:t>
      </w:r>
    </w:p>
    <w:p>
      <w:pPr>
        <w:spacing w:after="40" w:before="80"/>
        <w:jc w:val="center"/>
      </w:pPr>
      <w:r>
        <w:rPr>
          <w:rFonts w:ascii="Times New Roman" w:cs="Times New Roman" w:eastAsia="Times New Roman" w:hAnsi="Times New Roman"/>
          <w:i/>
          <w:iCs/>
          <w:color w:val="555555"/>
          <w:sz w:val="18"/>
          <w:szCs w:val="18"/>
        </w:rPr>
        <w:t xml:space="preserve">[INSERT FIGURE 5 HERE — Figure5_Breathing_Screen.png]</w:t>
      </w:r>
    </w:p>
    <w:p>
      <w:pPr>
        <w:spacing w:after="80" w:before="0"/>
        <w:jc w:val="center"/>
      </w:pPr>
      <w:r>
        <w:rPr>
          <w:rFonts w:ascii="Times New Roman" w:cs="Times New Roman" w:eastAsia="Times New Roman" w:hAnsi="Times New Roman"/>
          <w:sz w:val="18"/>
          <w:szCs w:val="18"/>
        </w:rPr>
        <w:t xml:space="preserve">Fig. 5. The Dr. Aria breathing screen: a warm off-white canvas with a softly blurred sage-green orb and the text 'Take a deep breath.' serving as a mindfulness threshold before session entry.</w:t>
      </w:r>
    </w:p>
    <w:p>
      <w:pPr>
        <w:spacing w:after="60" w:before="0" w:line="240"/>
        <w:jc w:val="both"/>
      </w:pPr>
      <w:r>
        <w:rPr>
          <w:rFonts w:ascii="Times New Roman" w:cs="Times New Roman" w:eastAsia="Times New Roman" w:hAnsi="Times New Roman"/>
          <w:sz w:val="20"/>
          <w:szCs w:val="20"/>
        </w:rPr>
        <w:t xml:space="preserve">The first screen encountered by users is the Breathing Screen (Fig. 5): a warm off-white canvas (#F5F4EF) displaying a single soft, Gaussian-blurred sage-green orb and the text 'Take a deep breath.' in a muted serif typeface. This deliberate pause is a mindfulness threshold — a moment of deceleration before emotional engagement. The ambient orb approximates a breathing animation without imposing instruction or countdown, acknowledging that users arriving to an AI therapy session may carry ambient distress from their day. The design philosophy here draws from somatic psychology: the body responds to visual stillness before the mind can engage with reflective content. No button is prominent; the screen dissolves on user interaction, creating a gentle threshold rather than an abrupt entry.</w:t>
      </w:r>
    </w:p>
    <w:p>
      <w:pPr>
        <w:spacing w:after="40" w:before="80"/>
        <w:jc w:val="center"/>
      </w:pPr>
      <w:r>
        <w:rPr>
          <w:rFonts w:ascii="Times New Roman" w:cs="Times New Roman" w:eastAsia="Times New Roman" w:hAnsi="Times New Roman"/>
          <w:i/>
          <w:iCs/>
          <w:color w:val="555555"/>
          <w:sz w:val="18"/>
          <w:szCs w:val="18"/>
        </w:rPr>
        <w:t xml:space="preserve">[INSERT FIGURE 6 HERE — Figure6_Encryption_Choice.png]</w:t>
      </w:r>
    </w:p>
    <w:p>
      <w:pPr>
        <w:spacing w:after="80" w:before="0"/>
        <w:jc w:val="center"/>
      </w:pPr>
      <w:r>
        <w:rPr>
          <w:rFonts w:ascii="Times New Roman" w:cs="Times New Roman" w:eastAsia="Times New Roman" w:hAnsi="Times New Roman"/>
          <w:sz w:val="18"/>
          <w:szCs w:val="18"/>
        </w:rPr>
        <w:t xml:space="preserve">Fig. 6. The encryption mode selection screen. Mode A ('A Continuous Thread') and Mode B ('The Present Moment') are presented in relational rather than technical language, transforming a cryptographic decision into a therapeutic consent moment.</w:t>
      </w:r>
    </w:p>
    <w:p>
      <w:pPr>
        <w:spacing w:after="60" w:before="0" w:line="240"/>
        <w:jc w:val="both"/>
      </w:pPr>
      <w:r>
        <w:rPr>
          <w:rFonts w:ascii="Times New Roman" w:cs="Times New Roman" w:eastAsia="Times New Roman" w:hAnsi="Times New Roman"/>
          <w:sz w:val="20"/>
          <w:szCs w:val="20"/>
        </w:rPr>
        <w:t xml:space="preserve">The second screen presents the Encryption Mode Selection (Fig. 6) — the technical choice between Mode A and Mode B — entirely in therapeutic rather than technical language. Mode A is labelled 'A Continuous Thread' with the description: 'I will remember our past conversations, allowing me to understand your journey over time and reflect on your growth.' Mode B is labelled 'The Present Moment': 'A blank slate every time. I forget everything the moment you leave. Pure confidentiality, just for today.' The entry call-to-action reads 'Enter the Room' — framing the session as a therapeutic space rather than a software interaction. This linguistic reframing transforms an informed consent decision about cryptographic architecture into an emotionally resonant expression of user agency. Users understand the tradeoff in terms of their relationship with Dr. Aria, not in terms of server-side decryption capabilities.</w:t>
      </w:r>
    </w:p>
    <w:p>
      <w:pPr>
        <w:spacing w:after="40" w:before="80"/>
        <w:jc w:val="center"/>
      </w:pPr>
      <w:r>
        <w:rPr>
          <w:rFonts w:ascii="Times New Roman" w:cs="Times New Roman" w:eastAsia="Times New Roman" w:hAnsi="Times New Roman"/>
          <w:i/>
          <w:iCs/>
          <w:color w:val="555555"/>
          <w:sz w:val="18"/>
          <w:szCs w:val="18"/>
        </w:rPr>
        <w:t xml:space="preserve">[INSERT FIGURE 7 HERE — Figure7_Chat_Interface.png]</w:t>
      </w:r>
    </w:p>
    <w:p>
      <w:pPr>
        <w:spacing w:after="80" w:before="0"/>
        <w:jc w:val="center"/>
      </w:pPr>
      <w:r>
        <w:rPr>
          <w:rFonts w:ascii="Times New Roman" w:cs="Times New Roman" w:eastAsia="Times New Roman" w:hAnsi="Times New Roman"/>
          <w:sz w:val="18"/>
          <w:szCs w:val="18"/>
        </w:rPr>
        <w:t xml:space="preserve">Fig. 7. The handwritten diary-style chat interface. Messages appear as floating cursive text on cream paper with no chat bubbles. 'ARIA IS PRESENT' status bar, 'Take your time...' input placeholder, and 'Share' send button collectively signal a relational rather than transactional interaction.</w:t>
      </w:r>
    </w:p>
    <w:p>
      <w:pPr>
        <w:spacing w:after="60" w:before="0" w:line="240"/>
        <w:jc w:val="both"/>
      </w:pPr>
      <w:r>
        <w:rPr>
          <w:rFonts w:ascii="Times New Roman" w:cs="Times New Roman" w:eastAsia="Times New Roman" w:hAnsi="Times New Roman"/>
          <w:sz w:val="20"/>
          <w:szCs w:val="20"/>
        </w:rPr>
        <w:t xml:space="preserve">The third screen is the conversation interface itself (Fig. 7). All messages — both Dr. Aria's and the user's — appear as floating text in a handwritten cursive script on the same cream-white background, without speech bubbles, message containers, or read receipts. Dr. Aria's responses are left-aligned in a darker weight; user messages are right-indented in a lighter italic, evoking the visual grammar of a private journal or a letter. The input placeholder reads 'Take your time...' rather than the conventional 'Type a message,' and the send affordance is labelled 'Share' rather than 'Send.' The top status bar reads 'ARIA IS PRESENT' with a subtle thread icon — communicating presence rather than processing status. These micro-copy choices collectively communicate: this is not a productivity tool; it is a relational space governed by patience.</w:t>
      </w:r>
    </w:p>
    <w:p>
      <w:pPr>
        <w:spacing w:after="60" w:before="0" w:line="240"/>
        <w:jc w:val="both"/>
      </w:pPr>
      <w:r>
        <w:rPr>
          <w:rFonts w:ascii="Times New Roman" w:cs="Times New Roman" w:eastAsia="Times New Roman" w:hAnsi="Times New Roman"/>
          <w:sz w:val="20"/>
          <w:szCs w:val="20"/>
        </w:rPr>
        <w:t xml:space="preserve">The cumulative effect of these design choices is what interaction design researchers term a low-barrier disclosure environment [15b]: an interface that minimises the affective cost of opening up. The warm off-white palette (#F5F4EF background, muted sage accents) deliberately avoids the clinical blues and whites of healthcare applications, instead referencing the texture of old paper and hand-bound books — surfaces culturally associated with private emotional processing. The absence of avatars, profile images, and typing indicators removes the performative dimension of conventional chat: users are not performing for an audience, even a digital one. This interface design represents a contribution independent of the AI system it frames, and constitutes a replicable design pattern for affectively-appropriate human-computer interaction in the mental health domain.</w:t>
      </w:r>
    </w:p>
    <w:p>
      <w:pPr>
        <w:spacing w:after="60" w:before="120"/>
        <w:jc w:val="center"/>
      </w:pPr>
      <w:r>
        <w:rPr>
          <w:rFonts w:ascii="Times New Roman" w:cs="Times New Roman" w:eastAsia="Times New Roman" w:hAnsi="Times New Roman"/>
          <w:b/>
          <w:bCs/>
          <w:caps/>
          <w:sz w:val="20"/>
          <w:szCs w:val="20"/>
        </w:rPr>
        <w:t xml:space="preserve">IV. Experimental Setup and Results</w:t>
      </w:r>
    </w:p>
    <w:p>
      <w:pPr>
        <w:spacing w:after="40" w:before="80"/>
        <w:jc w:val="left"/>
      </w:pPr>
      <w:r>
        <w:rPr>
          <w:rFonts w:ascii="Times New Roman" w:cs="Times New Roman" w:eastAsia="Times New Roman" w:hAnsi="Times New Roman"/>
          <w:i/>
          <w:iCs/>
          <w:sz w:val="20"/>
          <w:szCs w:val="20"/>
        </w:rPr>
        <w:t xml:space="preserve">A. Experimental Environment</w:t>
      </w:r>
    </w:p>
    <w:p>
      <w:pPr>
        <w:spacing w:after="60" w:before="0" w:line="240"/>
        <w:jc w:val="both"/>
      </w:pPr>
      <w:r>
        <w:rPr>
          <w:rFonts w:ascii="Times New Roman" w:cs="Times New Roman" w:eastAsia="Times New Roman" w:hAnsi="Times New Roman"/>
          <w:sz w:val="20"/>
          <w:szCs w:val="20"/>
        </w:rPr>
        <w:t xml:space="preserve">All tests were conducted using the CLI chat client (chat.js) connected directly to MongoDB, bypassing HTTP rate limits for controlled testing. The test environment comprised Node.js 20 LTS on Windows 10, MongoDB 7.0 (local instance), OpenAI GPT-4o (gpt-4o-2024-08-06) as the main response model, and GPT-4o-mini for background tasks. Verbose mode was enabled to capture TTFT, total response time, token count, and tokens-per-second metrics.</w:t>
      </w:r>
    </w:p>
    <w:p>
      <w:pPr>
        <w:spacing w:after="40" w:before="80"/>
        <w:jc w:val="left"/>
      </w:pPr>
      <w:r>
        <w:rPr>
          <w:rFonts w:ascii="Times New Roman" w:cs="Times New Roman" w:eastAsia="Times New Roman" w:hAnsi="Times New Roman"/>
          <w:i/>
          <w:iCs/>
          <w:sz w:val="20"/>
          <w:szCs w:val="20"/>
        </w:rPr>
        <w:t xml:space="preserve">B. Performance Benchmarks</w:t>
      </w:r>
    </w:p>
    <w:p>
      <w:pPr>
        <w:spacing w:after="60" w:before="0" w:line="240"/>
        <w:jc w:val="both"/>
      </w:pPr>
      <w:r>
        <w:rPr>
          <w:rFonts w:ascii="Times New Roman" w:cs="Times New Roman" w:eastAsia="Times New Roman" w:hAnsi="Times New Roman"/>
          <w:sz w:val="20"/>
          <w:szCs w:val="20"/>
        </w:rPr>
        <w:t xml:space="preserve">Twenty-one message exchanges across twelve test cases were recorded in verbose mode. Table I presents the measured streaming performance metrics from these real interactions.</w:t>
      </w:r>
    </w:p>
    <w:p>
      <w:r>
        <w:t xml:space="preserve"/>
      </w:r>
    </w:p>
    <w:p>
      <w:pPr>
        <w:spacing w:after="20" w:before="40"/>
        <w:jc w:val="center"/>
      </w:pPr>
      <w:r>
        <w:rPr>
          <w:rFonts w:ascii="Times New Roman" w:cs="Times New Roman" w:eastAsia="Times New Roman" w:hAnsi="Times New Roman"/>
          <w:b/>
          <w:bCs/>
          <w:sz w:val="18"/>
          <w:szCs w:val="18"/>
        </w:rPr>
        <w:t xml:space="preserve">TABLE I: Streaming Performance Metrics (21 actual exchanges, 12 test cases)</w:t>
      </w:r>
    </w:p>
    <w:tbl>
      <w:tblPr>
        <w:tblW w:type="dxa" w:w="5500"/>
        <w:tblBorders>
          <w:top w:val="single" w:color="auto" w:sz="4"/>
          <w:left w:val="single" w:color="auto" w:sz="4"/>
          <w:bottom w:val="single" w:color="auto" w:sz="4"/>
          <w:right w:val="single" w:color="auto" w:sz="4"/>
          <w:insideH w:val="single" w:color="auto" w:sz="4"/>
          <w:insideV w:val="single" w:color="auto" w:sz="4"/>
        </w:tblBorders>
      </w:tblPr>
      <w:tblGrid>
        <w:gridCol w:w="2100"/>
        <w:gridCol w:w="940"/>
        <w:gridCol w:w="940"/>
        <w:gridCol w:w="760"/>
        <w:gridCol w:w="760"/>
      </w:tblGrid>
      <w:tr>
        <w:trPr>
          <w:tblHeader/>
        </w:trPr>
        <w:tc>
          <w:tcPr>
            <w:tcW w:type="dxa" w:w="2100"/>
            <w:tcBorders>
              <w:top w:val="single" w:color="000000" w:sz="4"/>
              <w:left w:val="single" w:color="000000" w:sz="4"/>
              <w:bottom w:val="single" w:color="000000" w:sz="4"/>
              <w:right w:val="single" w:color="000000" w:sz="4"/>
            </w:tcBorders>
            <w:shd w:fill="CCCCCC"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Metric</w:t>
            </w:r>
          </w:p>
        </w:tc>
        <w:tc>
          <w:tcPr>
            <w:tcW w:type="dxa" w:w="940"/>
            <w:tcBorders>
              <w:top w:val="single" w:color="000000" w:sz="4"/>
              <w:left w:val="single" w:color="000000" w:sz="4"/>
              <w:bottom w:val="single" w:color="000000" w:sz="4"/>
              <w:right w:val="single" w:color="000000" w:sz="4"/>
            </w:tcBorders>
            <w:shd w:fill="CCCCCC"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Mean</w:t>
            </w:r>
          </w:p>
        </w:tc>
        <w:tc>
          <w:tcPr>
            <w:tcW w:type="dxa" w:w="940"/>
            <w:tcBorders>
              <w:top w:val="single" w:color="000000" w:sz="4"/>
              <w:left w:val="single" w:color="000000" w:sz="4"/>
              <w:bottom w:val="single" w:color="000000" w:sz="4"/>
              <w:right w:val="single" w:color="000000" w:sz="4"/>
            </w:tcBorders>
            <w:shd w:fill="CCCCCC"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Median</w:t>
            </w:r>
          </w:p>
        </w:tc>
        <w:tc>
          <w:tcPr>
            <w:tcW w:type="dxa" w:w="760"/>
            <w:tcBorders>
              <w:top w:val="single" w:color="000000" w:sz="4"/>
              <w:left w:val="single" w:color="000000" w:sz="4"/>
              <w:bottom w:val="single" w:color="000000" w:sz="4"/>
              <w:right w:val="single" w:color="000000" w:sz="4"/>
            </w:tcBorders>
            <w:shd w:fill="CCCCCC"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Min</w:t>
            </w:r>
          </w:p>
        </w:tc>
        <w:tc>
          <w:tcPr>
            <w:tcW w:type="dxa" w:w="760"/>
            <w:tcBorders>
              <w:top w:val="single" w:color="000000" w:sz="4"/>
              <w:left w:val="single" w:color="000000" w:sz="4"/>
              <w:bottom w:val="single" w:color="000000" w:sz="4"/>
              <w:right w:val="single" w:color="000000" w:sz="4"/>
            </w:tcBorders>
            <w:shd w:fill="CCCCCC"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Max</w:t>
            </w:r>
          </w:p>
        </w:tc>
      </w:tr>
      <w:tr>
        <w:trPr>
          <w:tblHeader w:val="false"/>
        </w:trPr>
        <w:tc>
          <w:tcPr>
            <w:tcW w:type="dxa" w:w="21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TTFT (ms)</w:t>
            </w:r>
          </w:p>
        </w:tc>
        <w:tc>
          <w:tcPr>
            <w:tcW w:type="dxa" w:w="94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2601</w:t>
            </w:r>
          </w:p>
        </w:tc>
        <w:tc>
          <w:tcPr>
            <w:tcW w:type="dxa" w:w="94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2316</w:t>
            </w:r>
          </w:p>
        </w:tc>
        <w:tc>
          <w:tcPr>
            <w:tcW w:type="dxa" w:w="76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1320</w:t>
            </w:r>
          </w:p>
        </w:tc>
        <w:tc>
          <w:tcPr>
            <w:tcW w:type="dxa" w:w="76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7047</w:t>
            </w:r>
          </w:p>
        </w:tc>
      </w:tr>
      <w:tr>
        <w:trPr>
          <w:tblHeader w:val="false"/>
        </w:trPr>
        <w:tc>
          <w:tcPr>
            <w:tcW w:type="dxa" w:w="21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Total Time (ms)</w:t>
            </w:r>
          </w:p>
        </w:tc>
        <w:tc>
          <w:tcPr>
            <w:tcW w:type="dxa" w:w="94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3563</w:t>
            </w:r>
          </w:p>
        </w:tc>
        <w:tc>
          <w:tcPr>
            <w:tcW w:type="dxa" w:w="94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3041</w:t>
            </w:r>
          </w:p>
        </w:tc>
        <w:tc>
          <w:tcPr>
            <w:tcW w:type="dxa" w:w="76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1746</w:t>
            </w:r>
          </w:p>
        </w:tc>
        <w:tc>
          <w:tcPr>
            <w:tcW w:type="dxa" w:w="76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10003</w:t>
            </w:r>
          </w:p>
        </w:tc>
      </w:tr>
      <w:tr>
        <w:trPr>
          <w:tblHeader w:val="false"/>
        </w:trPr>
        <w:tc>
          <w:tcPr>
            <w:tcW w:type="dxa" w:w="21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Tokens per Second</w:t>
            </w:r>
          </w:p>
        </w:tc>
        <w:tc>
          <w:tcPr>
            <w:tcW w:type="dxa" w:w="94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18.3</w:t>
            </w:r>
          </w:p>
        </w:tc>
        <w:tc>
          <w:tcPr>
            <w:tcW w:type="dxa" w:w="94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18.0</w:t>
            </w:r>
          </w:p>
        </w:tc>
        <w:tc>
          <w:tcPr>
            <w:tcW w:type="dxa" w:w="76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4.0</w:t>
            </w:r>
          </w:p>
        </w:tc>
        <w:tc>
          <w:tcPr>
            <w:tcW w:type="dxa" w:w="76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34.0</w:t>
            </w:r>
          </w:p>
        </w:tc>
      </w:tr>
      <w:tr>
        <w:trPr>
          <w:tblHeader w:val="false"/>
        </w:trPr>
        <w:tc>
          <w:tcPr>
            <w:tcW w:type="dxa" w:w="21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Response Tokens</w:t>
            </w:r>
          </w:p>
        </w:tc>
        <w:tc>
          <w:tcPr>
            <w:tcW w:type="dxa" w:w="94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53.7</w:t>
            </w:r>
          </w:p>
        </w:tc>
        <w:tc>
          <w:tcPr>
            <w:tcW w:type="dxa" w:w="94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52</w:t>
            </w:r>
          </w:p>
        </w:tc>
        <w:tc>
          <w:tcPr>
            <w:tcW w:type="dxa" w:w="76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12</w:t>
            </w:r>
          </w:p>
        </w:tc>
        <w:tc>
          <w:tcPr>
            <w:tcW w:type="dxa" w:w="76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100</w:t>
            </w:r>
          </w:p>
        </w:tc>
      </w:tr>
    </w:tbl>
    <w:p>
      <w:r>
        <w:t xml:space="preserve"/>
      </w:r>
    </w:p>
    <w:p>
      <w:pPr>
        <w:spacing w:after="60" w:before="0" w:line="240"/>
        <w:jc w:val="both"/>
      </w:pPr>
      <w:r>
        <w:rPr>
          <w:rFonts w:ascii="Times New Roman" w:cs="Times New Roman" w:eastAsia="Times New Roman" w:hAnsi="Times New Roman"/>
          <w:sz w:val="20"/>
          <w:szCs w:val="20"/>
        </w:rPr>
        <w:t xml:space="preserve">The highest TTFT (7047 ms) occurred in the Hinglish cultural context test case (TC8), where a 78-token response involved culturally nuanced reasoning. The lowest TTFT (1320 ms) was recorded in TC2 (turn 2). The slowest streaming rate (4 tok/s) appeared on cold-start first exchanges; subsequent turns within the same session consistently achieved 14–34 tok/s. The longest total response time (10003 ms) also corresponded to TC8, which involved the longest generated response to a culturally complex Hinglish input. All exchanges remained within acceptable therapeutic response windows.</w:t>
      </w:r>
    </w:p>
    <w:p>
      <w:pPr>
        <w:spacing w:after="40" w:before="80"/>
        <w:jc w:val="left"/>
      </w:pPr>
      <w:r>
        <w:rPr>
          <w:rFonts w:ascii="Times New Roman" w:cs="Times New Roman" w:eastAsia="Times New Roman" w:hAnsi="Times New Roman"/>
          <w:i/>
          <w:iCs/>
          <w:sz w:val="20"/>
          <w:szCs w:val="20"/>
        </w:rPr>
        <w:t xml:space="preserve">C. Clinical Scorecard Evaluation</w:t>
      </w:r>
    </w:p>
    <w:p>
      <w:pPr>
        <w:spacing w:after="60" w:before="0" w:line="240"/>
        <w:jc w:val="both"/>
      </w:pPr>
      <w:r>
        <w:rPr>
          <w:rFonts w:ascii="Times New Roman" w:cs="Times New Roman" w:eastAsia="Times New Roman" w:hAnsi="Times New Roman"/>
          <w:sz w:val="20"/>
          <w:szCs w:val="20"/>
        </w:rPr>
        <w:t xml:space="preserve">Twelve test cases from the Dr. Aria Chat Evaluation Scorecard were executed. Each case is scored across five criteria — Voice &amp; Tone, No Unsolicited Advice, Response Structure, Question Discipline, and Clinical Depth — each worth 0–2 points (maximum 10 per case). Score 8–10 = Pass; 6–7 = Review; below 6 = Fail. Table II presents results for all twelve cases.</w:t>
      </w:r>
    </w:p>
    <w:p>
      <w:r>
        <w:t xml:space="preserve"/>
      </w:r>
    </w:p>
    <w:p>
      <w:pPr>
        <w:spacing w:after="20" w:before="40"/>
        <w:jc w:val="center"/>
      </w:pPr>
      <w:r>
        <w:rPr>
          <w:rFonts w:ascii="Times New Roman" w:cs="Times New Roman" w:eastAsia="Times New Roman" w:hAnsi="Times New Roman"/>
          <w:b/>
          <w:bCs/>
          <w:sz w:val="18"/>
          <w:szCs w:val="18"/>
        </w:rPr>
        <w:t xml:space="preserve">TABLE II: Evaluation Scorecard Results (12 Test Cases)</w:t>
      </w:r>
    </w:p>
    <w:tbl>
      <w:tblPr>
        <w:tblW w:type="dxa" w:w="480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900"/>
        <w:gridCol w:w="900"/>
      </w:tblGrid>
      <w:tr>
        <w:trPr>
          <w:tblHeader/>
        </w:trPr>
        <w:tc>
          <w:tcPr>
            <w:tcW w:type="dxa" w:w="600"/>
            <w:tcBorders>
              <w:top w:val="single" w:color="000000" w:sz="4"/>
              <w:left w:val="single" w:color="000000" w:sz="4"/>
              <w:bottom w:val="single" w:color="000000" w:sz="4"/>
              <w:right w:val="single" w:color="000000" w:sz="4"/>
            </w:tcBorders>
            <w:shd w:fill="CCCCCC"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w:t>
            </w:r>
          </w:p>
        </w:tc>
        <w:tc>
          <w:tcPr>
            <w:tcW w:type="dxa" w:w="2400"/>
            <w:tcBorders>
              <w:top w:val="single" w:color="000000" w:sz="4"/>
              <w:left w:val="single" w:color="000000" w:sz="4"/>
              <w:bottom w:val="single" w:color="000000" w:sz="4"/>
              <w:right w:val="single" w:color="000000" w:sz="4"/>
            </w:tcBorders>
            <w:shd w:fill="CCCCCC"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Test Case</w:t>
            </w:r>
          </w:p>
        </w:tc>
        <w:tc>
          <w:tcPr>
            <w:tcW w:type="dxa" w:w="900"/>
            <w:tcBorders>
              <w:top w:val="single" w:color="000000" w:sz="4"/>
              <w:left w:val="single" w:color="000000" w:sz="4"/>
              <w:bottom w:val="single" w:color="000000" w:sz="4"/>
              <w:right w:val="single" w:color="000000" w:sz="4"/>
            </w:tcBorders>
            <w:shd w:fill="CCCCCC"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Score /10</w:t>
            </w:r>
          </w:p>
        </w:tc>
        <w:tc>
          <w:tcPr>
            <w:tcW w:type="dxa" w:w="900"/>
            <w:tcBorders>
              <w:top w:val="single" w:color="000000" w:sz="4"/>
              <w:left w:val="single" w:color="000000" w:sz="4"/>
              <w:bottom w:val="single" w:color="000000" w:sz="4"/>
              <w:right w:val="single" w:color="000000" w:sz="4"/>
            </w:tcBorders>
            <w:shd w:fill="CCCCCC"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Result</w:t>
            </w:r>
          </w:p>
        </w:tc>
      </w:tr>
      <w:tr>
        <w:trPr>
          <w:tblHeader w:val="false"/>
        </w:trPr>
        <w:tc>
          <w:tcPr>
            <w:tcW w:type="dxa" w:w="6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TC1</w:t>
            </w:r>
          </w:p>
        </w:tc>
        <w:tc>
          <w:tcPr>
            <w:tcW w:type="dxa" w:w="24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First Message — Opening</w:t>
            </w:r>
          </w:p>
        </w:tc>
        <w:tc>
          <w:tcPr>
            <w:tcW w:type="dxa" w:w="9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10</w:t>
            </w:r>
          </w:p>
        </w:tc>
        <w:tc>
          <w:tcPr>
            <w:tcW w:type="dxa" w:w="9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Pass</w:t>
            </w:r>
          </w:p>
        </w:tc>
      </w:tr>
      <w:tr>
        <w:trPr>
          <w:tblHeader w:val="false"/>
        </w:trPr>
        <w:tc>
          <w:tcPr>
            <w:tcW w:type="dxa" w:w="6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TC2</w:t>
            </w:r>
          </w:p>
        </w:tc>
        <w:tc>
          <w:tcPr>
            <w:tcW w:type="dxa" w:w="24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I'm Fine (Clearly Not)</w:t>
            </w:r>
          </w:p>
        </w:tc>
        <w:tc>
          <w:tcPr>
            <w:tcW w:type="dxa" w:w="9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7</w:t>
            </w:r>
          </w:p>
        </w:tc>
        <w:tc>
          <w:tcPr>
            <w:tcW w:type="dxa" w:w="9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Review</w:t>
            </w:r>
          </w:p>
        </w:tc>
      </w:tr>
      <w:tr>
        <w:trPr>
          <w:tblHeader w:val="false"/>
        </w:trPr>
        <w:tc>
          <w:tcPr>
            <w:tcW w:type="dxa" w:w="6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TC3</w:t>
            </w:r>
          </w:p>
        </w:tc>
        <w:tc>
          <w:tcPr>
            <w:tcW w:type="dxa" w:w="24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Pulling Back — Testing Safety</w:t>
            </w:r>
          </w:p>
        </w:tc>
        <w:tc>
          <w:tcPr>
            <w:tcW w:type="dxa" w:w="9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9</w:t>
            </w:r>
          </w:p>
        </w:tc>
        <w:tc>
          <w:tcPr>
            <w:tcW w:type="dxa" w:w="9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Pass</w:t>
            </w:r>
          </w:p>
        </w:tc>
      </w:tr>
      <w:tr>
        <w:trPr>
          <w:tblHeader w:val="false"/>
        </w:trPr>
        <w:tc>
          <w:tcPr>
            <w:tcW w:type="dxa" w:w="6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TC4</w:t>
            </w:r>
          </w:p>
        </w:tc>
        <w:tc>
          <w:tcPr>
            <w:tcW w:type="dxa" w:w="24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Catastrophizing — Academic/Career</w:t>
            </w:r>
          </w:p>
        </w:tc>
        <w:tc>
          <w:tcPr>
            <w:tcW w:type="dxa" w:w="9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8</w:t>
            </w:r>
          </w:p>
        </w:tc>
        <w:tc>
          <w:tcPr>
            <w:tcW w:type="dxa" w:w="9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Pass</w:t>
            </w:r>
          </w:p>
        </w:tc>
      </w:tr>
      <w:tr>
        <w:trPr>
          <w:tblHeader w:val="false"/>
        </w:trPr>
        <w:tc>
          <w:tcPr>
            <w:tcW w:type="dxa" w:w="6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TC5</w:t>
            </w:r>
          </w:p>
        </w:tc>
        <w:tc>
          <w:tcPr>
            <w:tcW w:type="dxa" w:w="24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Anger — What's Underneath</w:t>
            </w:r>
          </w:p>
        </w:tc>
        <w:tc>
          <w:tcPr>
            <w:tcW w:type="dxa" w:w="9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6</w:t>
            </w:r>
          </w:p>
        </w:tc>
        <w:tc>
          <w:tcPr>
            <w:tcW w:type="dxa" w:w="9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Review</w:t>
            </w:r>
          </w:p>
        </w:tc>
      </w:tr>
      <w:tr>
        <w:trPr>
          <w:tblHeader w:val="false"/>
        </w:trPr>
        <w:tc>
          <w:tcPr>
            <w:tcW w:type="dxa" w:w="6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TC6</w:t>
            </w:r>
          </w:p>
        </w:tc>
        <w:tc>
          <w:tcPr>
            <w:tcW w:type="dxa" w:w="24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Shame — Something Hard to Say</w:t>
            </w:r>
          </w:p>
        </w:tc>
        <w:tc>
          <w:tcPr>
            <w:tcW w:type="dxa" w:w="9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8</w:t>
            </w:r>
          </w:p>
        </w:tc>
        <w:tc>
          <w:tcPr>
            <w:tcW w:type="dxa" w:w="9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Pass</w:t>
            </w:r>
          </w:p>
        </w:tc>
      </w:tr>
      <w:tr>
        <w:trPr>
          <w:tblHeader w:val="false"/>
        </w:trPr>
        <w:tc>
          <w:tcPr>
            <w:tcW w:type="dxa" w:w="6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TC7</w:t>
            </w:r>
          </w:p>
        </w:tc>
        <w:tc>
          <w:tcPr>
            <w:tcW w:type="dxa" w:w="24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Existential Emptiness</w:t>
            </w:r>
          </w:p>
        </w:tc>
        <w:tc>
          <w:tcPr>
            <w:tcW w:type="dxa" w:w="9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8</w:t>
            </w:r>
          </w:p>
        </w:tc>
        <w:tc>
          <w:tcPr>
            <w:tcW w:type="dxa" w:w="9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Pass</w:t>
            </w:r>
          </w:p>
        </w:tc>
      </w:tr>
      <w:tr>
        <w:trPr>
          <w:tblHeader w:val="false"/>
        </w:trPr>
        <w:tc>
          <w:tcPr>
            <w:tcW w:type="dxa" w:w="6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TC8</w:t>
            </w:r>
          </w:p>
        </w:tc>
        <w:tc>
          <w:tcPr>
            <w:tcW w:type="dxa" w:w="24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Indian Cultural Context / Hinglish</w:t>
            </w:r>
          </w:p>
        </w:tc>
        <w:tc>
          <w:tcPr>
            <w:tcW w:type="dxa" w:w="9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8</w:t>
            </w:r>
          </w:p>
        </w:tc>
        <w:tc>
          <w:tcPr>
            <w:tcW w:type="dxa" w:w="9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Pass</w:t>
            </w:r>
          </w:p>
        </w:tc>
      </w:tr>
      <w:tr>
        <w:trPr>
          <w:tblHeader w:val="false"/>
        </w:trPr>
        <w:tc>
          <w:tcPr>
            <w:tcW w:type="dxa" w:w="6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TC9</w:t>
            </w:r>
          </w:p>
        </w:tc>
        <w:tc>
          <w:tcPr>
            <w:tcW w:type="dxa" w:w="24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Passive Suicidal Ideation</w:t>
            </w:r>
          </w:p>
        </w:tc>
        <w:tc>
          <w:tcPr>
            <w:tcW w:type="dxa" w:w="9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6</w:t>
            </w:r>
          </w:p>
        </w:tc>
        <w:tc>
          <w:tcPr>
            <w:tcW w:type="dxa" w:w="9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Review</w:t>
            </w:r>
          </w:p>
        </w:tc>
      </w:tr>
      <w:tr>
        <w:trPr>
          <w:tblHeader w:val="false"/>
        </w:trPr>
        <w:tc>
          <w:tcPr>
            <w:tcW w:type="dxa" w:w="6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TC10</w:t>
            </w:r>
          </w:p>
        </w:tc>
        <w:tc>
          <w:tcPr>
            <w:tcW w:type="dxa" w:w="24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Long Emotional Dump</w:t>
            </w:r>
          </w:p>
        </w:tc>
        <w:tc>
          <w:tcPr>
            <w:tcW w:type="dxa" w:w="9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10</w:t>
            </w:r>
          </w:p>
        </w:tc>
        <w:tc>
          <w:tcPr>
            <w:tcW w:type="dxa" w:w="9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Pass</w:t>
            </w:r>
          </w:p>
        </w:tc>
      </w:tr>
      <w:tr>
        <w:trPr>
          <w:tblHeader w:val="false"/>
        </w:trPr>
        <w:tc>
          <w:tcPr>
            <w:tcW w:type="dxa" w:w="6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TC11</w:t>
            </w:r>
          </w:p>
        </w:tc>
        <w:tc>
          <w:tcPr>
            <w:tcW w:type="dxa" w:w="24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Resistance to Reframe</w:t>
            </w:r>
          </w:p>
        </w:tc>
        <w:tc>
          <w:tcPr>
            <w:tcW w:type="dxa" w:w="9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10</w:t>
            </w:r>
          </w:p>
        </w:tc>
        <w:tc>
          <w:tcPr>
            <w:tcW w:type="dxa" w:w="9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Pass</w:t>
            </w:r>
          </w:p>
        </w:tc>
      </w:tr>
      <w:tr>
        <w:trPr>
          <w:tblHeader w:val="false"/>
        </w:trPr>
        <w:tc>
          <w:tcPr>
            <w:tcW w:type="dxa" w:w="6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TC12</w:t>
            </w:r>
          </w:p>
        </w:tc>
        <w:tc>
          <w:tcPr>
            <w:tcW w:type="dxa" w:w="24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Jailbreak / Identity Test</w:t>
            </w:r>
          </w:p>
        </w:tc>
        <w:tc>
          <w:tcPr>
            <w:tcW w:type="dxa" w:w="9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9</w:t>
            </w:r>
          </w:p>
        </w:tc>
        <w:tc>
          <w:tcPr>
            <w:tcW w:type="dxa" w:w="9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Pass</w:t>
            </w:r>
          </w:p>
        </w:tc>
      </w:tr>
      <w:tr>
        <w:trPr>
          <w:tblHeader w:val="false"/>
        </w:trPr>
        <w:tc>
          <w:tcPr>
            <w:tcW w:type="dxa" w:w="6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w:t>
            </w:r>
          </w:p>
        </w:tc>
        <w:tc>
          <w:tcPr>
            <w:tcW w:type="dxa" w:w="24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TOTAL (out of 120)</w:t>
            </w:r>
          </w:p>
        </w:tc>
        <w:tc>
          <w:tcPr>
            <w:tcW w:type="dxa" w:w="9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99</w:t>
            </w:r>
          </w:p>
        </w:tc>
        <w:tc>
          <w:tcPr>
            <w:tcW w:type="dxa" w:w="9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82.5%</w:t>
            </w:r>
          </w:p>
        </w:tc>
      </w:tr>
    </w:tbl>
    <w:p>
      <w:r>
        <w:t xml:space="preserve"/>
      </w:r>
    </w:p>
    <w:p>
      <w:pPr>
        <w:spacing w:after="60" w:before="0" w:line="240"/>
        <w:jc w:val="both"/>
      </w:pPr>
      <w:r>
        <w:rPr>
          <w:rFonts w:ascii="Times New Roman" w:cs="Times New Roman" w:eastAsia="Times New Roman" w:hAnsi="Times New Roman"/>
          <w:sz w:val="20"/>
          <w:szCs w:val="20"/>
        </w:rPr>
        <w:t xml:space="preserve">Nine of twelve test cases achieved Pass status; three (TC2, TC5, TC9) were rated Review. Zero cases were rated Fail. The overall score of 99/120 (82.5%) demonstrates strong baseline therapeutic quality. The three Review cases reveal consistent weaknesses in Question Discipline and Clinical Depth — specifically, Dr. Aria occasionally ends turns with multiple questions (TC2, TC5) or does not reach the deepest emotional current on first response (TC9). Table III breaks down aggregate criterion scores across all twelve cases.</w:t>
      </w:r>
    </w:p>
    <w:p>
      <w:r>
        <w:t xml:space="preserve"/>
      </w:r>
    </w:p>
    <w:p>
      <w:pPr>
        <w:spacing w:after="20" w:before="40"/>
        <w:jc w:val="center"/>
      </w:pPr>
      <w:r>
        <w:rPr>
          <w:rFonts w:ascii="Times New Roman" w:cs="Times New Roman" w:eastAsia="Times New Roman" w:hAnsi="Times New Roman"/>
          <w:b/>
          <w:bCs/>
          <w:sz w:val="18"/>
          <w:szCs w:val="18"/>
        </w:rPr>
        <w:t xml:space="preserve">TABLE III: Aggregate Criterion Scores Across All 12 Test Cases</w:t>
      </w:r>
    </w:p>
    <w:tbl>
      <w:tblPr>
        <w:tblW w:type="dxa" w:w="6500"/>
        <w:tblBorders>
          <w:top w:val="single" w:color="auto" w:sz="4"/>
          <w:left w:val="single" w:color="auto" w:sz="4"/>
          <w:bottom w:val="single" w:color="auto" w:sz="4"/>
          <w:right w:val="single" w:color="auto" w:sz="4"/>
          <w:insideH w:val="single" w:color="auto" w:sz="4"/>
          <w:insideV w:val="single" w:color="auto" w:sz="4"/>
        </w:tblBorders>
      </w:tblPr>
      <w:tblGrid>
        <w:gridCol w:w="1700"/>
        <w:gridCol w:w="680"/>
        <w:gridCol w:w="680"/>
        <w:gridCol w:w="860"/>
        <w:gridCol w:w="2580"/>
      </w:tblGrid>
      <w:tr>
        <w:trPr>
          <w:tblHeader/>
        </w:trPr>
        <w:tc>
          <w:tcPr>
            <w:tcW w:type="dxa" w:w="1700"/>
            <w:tcBorders>
              <w:top w:val="single" w:color="000000" w:sz="4"/>
              <w:left w:val="single" w:color="000000" w:sz="4"/>
              <w:bottom w:val="single" w:color="000000" w:sz="4"/>
              <w:right w:val="single" w:color="000000" w:sz="4"/>
            </w:tcBorders>
            <w:shd w:fill="CCCCCC"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Criterion</w:t>
            </w:r>
          </w:p>
        </w:tc>
        <w:tc>
          <w:tcPr>
            <w:tcW w:type="dxa" w:w="680"/>
            <w:tcBorders>
              <w:top w:val="single" w:color="000000" w:sz="4"/>
              <w:left w:val="single" w:color="000000" w:sz="4"/>
              <w:bottom w:val="single" w:color="000000" w:sz="4"/>
              <w:right w:val="single" w:color="000000" w:sz="4"/>
            </w:tcBorders>
            <w:shd w:fill="CCCCCC"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Score</w:t>
            </w:r>
          </w:p>
        </w:tc>
        <w:tc>
          <w:tcPr>
            <w:tcW w:type="dxa" w:w="680"/>
            <w:tcBorders>
              <w:top w:val="single" w:color="000000" w:sz="4"/>
              <w:left w:val="single" w:color="000000" w:sz="4"/>
              <w:bottom w:val="single" w:color="000000" w:sz="4"/>
              <w:right w:val="single" w:color="000000" w:sz="4"/>
            </w:tcBorders>
            <w:shd w:fill="CCCCCC"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Max</w:t>
            </w:r>
          </w:p>
        </w:tc>
        <w:tc>
          <w:tcPr>
            <w:tcW w:type="dxa" w:w="860"/>
            <w:tcBorders>
              <w:top w:val="single" w:color="000000" w:sz="4"/>
              <w:left w:val="single" w:color="000000" w:sz="4"/>
              <w:bottom w:val="single" w:color="000000" w:sz="4"/>
              <w:right w:val="single" w:color="000000" w:sz="4"/>
            </w:tcBorders>
            <w:shd w:fill="CCCCCC"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Percentage</w:t>
            </w:r>
          </w:p>
        </w:tc>
        <w:tc>
          <w:tcPr>
            <w:tcW w:type="dxa" w:w="2580"/>
            <w:tcBorders>
              <w:top w:val="single" w:color="000000" w:sz="4"/>
              <w:left w:val="single" w:color="000000" w:sz="4"/>
              <w:bottom w:val="single" w:color="000000" w:sz="4"/>
              <w:right w:val="single" w:color="000000" w:sz="4"/>
            </w:tcBorders>
            <w:shd w:fill="CCCCCC"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Weakness</w:t>
            </w:r>
          </w:p>
        </w:tc>
      </w:tr>
      <w:tr>
        <w:trPr>
          <w:tblHeader w:val="false"/>
        </w:trPr>
        <w:tc>
          <w:tcPr>
            <w:tcW w:type="dxa" w:w="17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Voice &amp; Tone</w:t>
            </w:r>
          </w:p>
        </w:tc>
        <w:tc>
          <w:tcPr>
            <w:tcW w:type="dxa" w:w="68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22</w:t>
            </w:r>
          </w:p>
        </w:tc>
        <w:tc>
          <w:tcPr>
            <w:tcW w:type="dxa" w:w="68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24</w:t>
            </w:r>
          </w:p>
        </w:tc>
        <w:tc>
          <w:tcPr>
            <w:tcW w:type="dxa" w:w="86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91.7%</w:t>
            </w:r>
          </w:p>
        </w:tc>
        <w:tc>
          <w:tcPr>
            <w:tcW w:type="dxa" w:w="258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TC8 scored 0 — opener sounded chatbot-like</w:t>
            </w:r>
          </w:p>
        </w:tc>
      </w:tr>
      <w:tr>
        <w:trPr>
          <w:tblHeader w:val="false"/>
        </w:trPr>
        <w:tc>
          <w:tcPr>
            <w:tcW w:type="dxa" w:w="17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No Unsolicited Advice</w:t>
            </w:r>
          </w:p>
        </w:tc>
        <w:tc>
          <w:tcPr>
            <w:tcW w:type="dxa" w:w="68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23</w:t>
            </w:r>
          </w:p>
        </w:tc>
        <w:tc>
          <w:tcPr>
            <w:tcW w:type="dxa" w:w="68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24</w:t>
            </w:r>
          </w:p>
        </w:tc>
        <w:tc>
          <w:tcPr>
            <w:tcW w:type="dxa" w:w="86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95.8%</w:t>
            </w:r>
          </w:p>
        </w:tc>
        <w:tc>
          <w:tcPr>
            <w:tcW w:type="dxa" w:w="258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TC9 minor slip — recovered quickly</w:t>
            </w:r>
          </w:p>
        </w:tc>
      </w:tr>
      <w:tr>
        <w:trPr>
          <w:tblHeader w:val="false"/>
        </w:trPr>
        <w:tc>
          <w:tcPr>
            <w:tcW w:type="dxa" w:w="17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Response Structure</w:t>
            </w:r>
          </w:p>
        </w:tc>
        <w:tc>
          <w:tcPr>
            <w:tcW w:type="dxa" w:w="68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20</w:t>
            </w:r>
          </w:p>
        </w:tc>
        <w:tc>
          <w:tcPr>
            <w:tcW w:type="dxa" w:w="68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24</w:t>
            </w:r>
          </w:p>
        </w:tc>
        <w:tc>
          <w:tcPr>
            <w:tcW w:type="dxa" w:w="86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83.3%</w:t>
            </w:r>
          </w:p>
        </w:tc>
        <w:tc>
          <w:tcPr>
            <w:tcW w:type="dxa" w:w="258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TC5 scored 0 — single bullet point found</w:t>
            </w:r>
          </w:p>
        </w:tc>
      </w:tr>
      <w:tr>
        <w:trPr>
          <w:tblHeader w:val="false"/>
        </w:trPr>
        <w:tc>
          <w:tcPr>
            <w:tcW w:type="dxa" w:w="17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Question Discipline</w:t>
            </w:r>
          </w:p>
        </w:tc>
        <w:tc>
          <w:tcPr>
            <w:tcW w:type="dxa" w:w="68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17</w:t>
            </w:r>
          </w:p>
        </w:tc>
        <w:tc>
          <w:tcPr>
            <w:tcW w:type="dxa" w:w="68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24</w:t>
            </w:r>
          </w:p>
        </w:tc>
        <w:tc>
          <w:tcPr>
            <w:tcW w:type="dxa" w:w="86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70.8%</w:t>
            </w:r>
          </w:p>
        </w:tc>
        <w:tc>
          <w:tcPr>
            <w:tcW w:type="dxa" w:w="258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Multiple Q's in TC2, TC4, TC5, TC6, TC7, TC9</w:t>
            </w:r>
          </w:p>
        </w:tc>
      </w:tr>
      <w:tr>
        <w:trPr>
          <w:tblHeader w:val="false"/>
        </w:trPr>
        <w:tc>
          <w:tcPr>
            <w:tcW w:type="dxa" w:w="17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Clinical Depth</w:t>
            </w:r>
          </w:p>
        </w:tc>
        <w:tc>
          <w:tcPr>
            <w:tcW w:type="dxa" w:w="68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17</w:t>
            </w:r>
          </w:p>
        </w:tc>
        <w:tc>
          <w:tcPr>
            <w:tcW w:type="dxa" w:w="68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24</w:t>
            </w:r>
          </w:p>
        </w:tc>
        <w:tc>
          <w:tcPr>
            <w:tcW w:type="dxa" w:w="86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70.8%</w:t>
            </w:r>
          </w:p>
        </w:tc>
        <w:tc>
          <w:tcPr>
            <w:tcW w:type="dxa" w:w="258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Surface-level in TC2, TC4, TC5, TC6, TC7, TC9</w:t>
            </w:r>
          </w:p>
        </w:tc>
      </w:tr>
      <w:tr>
        <w:trPr>
          <w:tblHeader w:val="false"/>
        </w:trPr>
        <w:tc>
          <w:tcPr>
            <w:tcW w:type="dxa" w:w="17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TOTAL</w:t>
            </w:r>
          </w:p>
        </w:tc>
        <w:tc>
          <w:tcPr>
            <w:tcW w:type="dxa" w:w="68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99</w:t>
            </w:r>
          </w:p>
        </w:tc>
        <w:tc>
          <w:tcPr>
            <w:tcW w:type="dxa" w:w="68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120</w:t>
            </w:r>
          </w:p>
        </w:tc>
        <w:tc>
          <w:tcPr>
            <w:tcW w:type="dxa" w:w="86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82.5%</w:t>
            </w:r>
          </w:p>
        </w:tc>
        <w:tc>
          <w:tcPr>
            <w:tcW w:type="dxa" w:w="258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9 Pass · 3 Review · 0 Fail</w:t>
            </w:r>
          </w:p>
        </w:tc>
      </w:tr>
    </w:tbl>
    <w:p>
      <w:r>
        <w:t xml:space="preserve"/>
      </w:r>
    </w:p>
    <w:p>
      <w:pPr>
        <w:spacing w:after="60" w:before="0" w:line="240"/>
        <w:jc w:val="both"/>
      </w:pPr>
      <w:r>
        <w:rPr>
          <w:rFonts w:ascii="Times New Roman" w:cs="Times New Roman" w:eastAsia="Times New Roman" w:hAnsi="Times New Roman"/>
          <w:sz w:val="20"/>
          <w:szCs w:val="20"/>
        </w:rPr>
        <w:t xml:space="preserve">The highest-performing criterion was No Unsolicited Advice (95.8%), indicating that the Rules section of the prompt corpus effectively suppresses advice-giving and coping-strategy injection — a historically persistent anti-pattern in conversational AI [10]. The single exception (TC9, score 1/2) involved a minor slip in which Dr. Aria implicitly validated the user's statement 'I'm not going to do anything,' which an evaluator noted functions as unsolicited reassurance. Question Discipline and Clinical Depth were the weakest dimensions (70.8% each), both driven by the same subset of Review cases.</w:t>
      </w:r>
    </w:p>
    <w:p>
      <w:pPr>
        <w:spacing w:after="60" w:before="0" w:line="240"/>
        <w:jc w:val="both"/>
      </w:pPr>
      <w:r>
        <w:rPr>
          <w:rFonts w:ascii="Times New Roman" w:cs="Times New Roman" w:eastAsia="Times New Roman" w:hAnsi="Times New Roman"/>
          <w:sz w:val="20"/>
          <w:szCs w:val="20"/>
        </w:rPr>
        <w:t xml:space="preserve">Analysis of the three Review cases reveals a consistent pattern: Dr. Aria performs reliably on emotional validation and structural prose, but occasionally fails to resist the impulse to resolve a turn with a question when sitting in silence or offering a pure reflection would be clinically preferable. In TC2 ('I'm Fine, Clearly Not'), the second response posed two questions in a single turn — acceptable individually but collectively overloading a user who had expressed their distress in deliberately vague terms. In TC5 (Anger), a single bullet point appeared in the second response — an automatic score of 0 for Response Structure under the rubric's strict definition. In TC9 (Passive Suicidal Ideation), Clinical Depth scored 1/2 because Dr. Aria addressed the clarification ('I'm not going to do anything') as a reassurance opportunity rather than as an opening to explore the frequency and texture of the recurring thought. These are tractable prompt-level failures: each maps to a specific instruction in persona.js or the relevant modality section, and none represents a fundamental architectural limitation.</w:t>
      </w:r>
    </w:p>
    <w:p>
      <w:pPr>
        <w:spacing w:after="60" w:before="0" w:line="240"/>
        <w:jc w:val="both"/>
      </w:pPr>
      <w:r>
        <w:rPr>
          <w:rFonts w:ascii="Times New Roman" w:cs="Times New Roman" w:eastAsia="Times New Roman" w:hAnsi="Times New Roman"/>
          <w:sz w:val="20"/>
          <w:szCs w:val="20"/>
        </w:rPr>
        <w:t xml:space="preserve">The five perfect scores (TC1 and TC10–TC12, plus TC3 at 9/10) are particularly informative. TC10 (Long Emotional Dump) receiving 10/10 is noteworthy: this is clinically the most demanding scenario, requiring the model to hold seven simultaneous distress threads without enumeration and identify caretaker burden as the emotional core. The perfect score demonstrates that GPT-4o, under the Dr. Aria prompt architecture, can successfully perform what psychotherapy researchers call 'differential tracking' — holding the full affective load of a session while selectively foregrounding the thread with highest emotional salience. TC11 (Resistance to Reframe) and TC12 (Jailbreak) both received near-perfect scores, confirming that the Rules and Persona sections together produce robust resistance to both therapeutic pushback and adversarial instruction injection.</w:t>
      </w:r>
    </w:p>
    <w:p>
      <w:pPr>
        <w:spacing w:after="60" w:before="120"/>
        <w:jc w:val="center"/>
      </w:pPr>
      <w:r>
        <w:rPr>
          <w:rFonts w:ascii="Times New Roman" w:cs="Times New Roman" w:eastAsia="Times New Roman" w:hAnsi="Times New Roman"/>
          <w:b/>
          <w:bCs/>
          <w:caps/>
          <w:sz w:val="20"/>
          <w:szCs w:val="20"/>
        </w:rPr>
        <w:t xml:space="preserve">V. Comparative Analysis</w:t>
      </w:r>
    </w:p>
    <w:p>
      <w:pPr>
        <w:spacing w:after="60" w:before="0" w:line="240"/>
        <w:jc w:val="both"/>
      </w:pPr>
      <w:r>
        <w:rPr>
          <w:rFonts w:ascii="Times New Roman" w:cs="Times New Roman" w:eastAsia="Times New Roman" w:hAnsi="Times New Roman"/>
          <w:sz w:val="20"/>
          <w:szCs w:val="20"/>
        </w:rPr>
        <w:t xml:space="preserve">Table IV compares Dr. Aria against four leading AI mental health platforms on clinically and technically relevant dimensions.</w:t>
      </w:r>
    </w:p>
    <w:p>
      <w:r>
        <w:t xml:space="preserve"/>
      </w:r>
    </w:p>
    <w:p>
      <w:pPr>
        <w:spacing w:after="20" w:before="40"/>
        <w:jc w:val="center"/>
      </w:pPr>
      <w:r>
        <w:rPr>
          <w:rFonts w:ascii="Times New Roman" w:cs="Times New Roman" w:eastAsia="Times New Roman" w:hAnsi="Times New Roman"/>
          <w:b/>
          <w:bCs/>
          <w:sz w:val="18"/>
          <w:szCs w:val="18"/>
        </w:rPr>
        <w:t xml:space="preserve">TABLE IV: Feature Comparison Across AI Mental Health Platforms</w:t>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000"/>
        <w:gridCol w:w="1000"/>
        <w:gridCol w:w="1000"/>
        <w:gridCol w:w="1300"/>
      </w:tblGrid>
      <w:tr>
        <w:trPr>
          <w:tblHeader/>
        </w:trPr>
        <w:tc>
          <w:tcPr>
            <w:tcW w:type="dxa" w:w="1600"/>
            <w:tcBorders>
              <w:top w:val="single" w:color="000000" w:sz="4"/>
              <w:left w:val="single" w:color="000000" w:sz="4"/>
              <w:bottom w:val="single" w:color="000000" w:sz="4"/>
              <w:right w:val="single" w:color="000000" w:sz="4"/>
            </w:tcBorders>
            <w:shd w:fill="CCCCCC"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Feature</w:t>
            </w:r>
          </w:p>
        </w:tc>
        <w:tc>
          <w:tcPr>
            <w:tcW w:type="dxa" w:w="1600"/>
            <w:tcBorders>
              <w:top w:val="single" w:color="000000" w:sz="4"/>
              <w:left w:val="single" w:color="000000" w:sz="4"/>
              <w:bottom w:val="single" w:color="000000" w:sz="4"/>
              <w:right w:val="single" w:color="000000" w:sz="4"/>
            </w:tcBorders>
            <w:shd w:fill="CCCCCC"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Dr. Aria</w:t>
            </w:r>
          </w:p>
        </w:tc>
        <w:tc>
          <w:tcPr>
            <w:tcW w:type="dxa" w:w="1000"/>
            <w:tcBorders>
              <w:top w:val="single" w:color="000000" w:sz="4"/>
              <w:left w:val="single" w:color="000000" w:sz="4"/>
              <w:bottom w:val="single" w:color="000000" w:sz="4"/>
              <w:right w:val="single" w:color="000000" w:sz="4"/>
            </w:tcBorders>
            <w:shd w:fill="CCCCCC"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Woebot</w:t>
            </w:r>
          </w:p>
        </w:tc>
        <w:tc>
          <w:tcPr>
            <w:tcW w:type="dxa" w:w="1000"/>
            <w:tcBorders>
              <w:top w:val="single" w:color="000000" w:sz="4"/>
              <w:left w:val="single" w:color="000000" w:sz="4"/>
              <w:bottom w:val="single" w:color="000000" w:sz="4"/>
              <w:right w:val="single" w:color="000000" w:sz="4"/>
            </w:tcBorders>
            <w:shd w:fill="CCCCCC"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Wysa</w:t>
            </w:r>
          </w:p>
        </w:tc>
        <w:tc>
          <w:tcPr>
            <w:tcW w:type="dxa" w:w="1000"/>
            <w:tcBorders>
              <w:top w:val="single" w:color="000000" w:sz="4"/>
              <w:left w:val="single" w:color="000000" w:sz="4"/>
              <w:bottom w:val="single" w:color="000000" w:sz="4"/>
              <w:right w:val="single" w:color="000000" w:sz="4"/>
            </w:tcBorders>
            <w:shd w:fill="CCCCCC"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Replika</w:t>
            </w:r>
          </w:p>
        </w:tc>
        <w:tc>
          <w:tcPr>
            <w:tcW w:type="dxa" w:w="1300"/>
            <w:tcBorders>
              <w:top w:val="single" w:color="000000" w:sz="4"/>
              <w:left w:val="single" w:color="000000" w:sz="4"/>
              <w:bottom w:val="single" w:color="000000" w:sz="4"/>
              <w:right w:val="single" w:color="000000" w:sz="4"/>
            </w:tcBorders>
            <w:shd w:fill="CCCCCC"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Ginger</w:t>
            </w:r>
          </w:p>
        </w:tc>
      </w:tr>
      <w:tr>
        <w:trPr>
          <w:tblHeader w:val="false"/>
        </w:trPr>
        <w:tc>
          <w:tcPr>
            <w:tcW w:type="dxa" w:w="16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Therapy Modalities</w:t>
            </w:r>
          </w:p>
        </w:tc>
        <w:tc>
          <w:tcPr>
            <w:tcW w:type="dxa" w:w="16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CBT+Humanistic+Psychoanalytic</w:t>
            </w:r>
          </w:p>
        </w:tc>
        <w:tc>
          <w:tcPr>
            <w:tcW w:type="dxa" w:w="10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CBT only</w:t>
            </w:r>
          </w:p>
        </w:tc>
        <w:tc>
          <w:tcPr>
            <w:tcW w:type="dxa" w:w="10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CBT+DBT</w:t>
            </w:r>
          </w:p>
        </w:tc>
        <w:tc>
          <w:tcPr>
            <w:tcW w:type="dxa" w:w="10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None</w:t>
            </w:r>
          </w:p>
        </w:tc>
        <w:tc>
          <w:tcPr>
            <w:tcW w:type="dxa" w:w="13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Human</w:t>
            </w:r>
          </w:p>
        </w:tc>
      </w:tr>
      <w:tr>
        <w:trPr>
          <w:tblHeader w:val="false"/>
        </w:trPr>
        <w:tc>
          <w:tcPr>
            <w:tcW w:type="dxa" w:w="16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Long-term Memory</w:t>
            </w:r>
          </w:p>
        </w:tc>
        <w:tc>
          <w:tcPr>
            <w:tcW w:type="dxa" w:w="16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3-tier hierarchical</w:t>
            </w:r>
          </w:p>
        </w:tc>
        <w:tc>
          <w:tcPr>
            <w:tcW w:type="dxa" w:w="10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Session only</w:t>
            </w:r>
          </w:p>
        </w:tc>
        <w:tc>
          <w:tcPr>
            <w:tcW w:type="dxa" w:w="10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Session only</w:t>
            </w:r>
          </w:p>
        </w:tc>
        <w:tc>
          <w:tcPr>
            <w:tcW w:type="dxa" w:w="10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Partial</w:t>
            </w:r>
          </w:p>
        </w:tc>
        <w:tc>
          <w:tcPr>
            <w:tcW w:type="dxa" w:w="13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Human</w:t>
            </w:r>
          </w:p>
        </w:tc>
      </w:tr>
      <w:tr>
        <w:trPr>
          <w:tblHeader w:val="false"/>
        </w:trPr>
        <w:tc>
          <w:tcPr>
            <w:tcW w:type="dxa" w:w="16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Crisis Detection</w:t>
            </w:r>
          </w:p>
        </w:tc>
        <w:tc>
          <w:tcPr>
            <w:tcW w:type="dxa" w:w="16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4-level silent async</w:t>
            </w:r>
          </w:p>
        </w:tc>
        <w:tc>
          <w:tcPr>
            <w:tcW w:type="dxa" w:w="10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Keyword</w:t>
            </w:r>
          </w:p>
        </w:tc>
        <w:tc>
          <w:tcPr>
            <w:tcW w:type="dxa" w:w="10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Keyword</w:t>
            </w:r>
          </w:p>
        </w:tc>
        <w:tc>
          <w:tcPr>
            <w:tcW w:type="dxa" w:w="10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None</w:t>
            </w:r>
          </w:p>
        </w:tc>
        <w:tc>
          <w:tcPr>
            <w:tcW w:type="dxa" w:w="13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Human</w:t>
            </w:r>
          </w:p>
        </w:tc>
      </w:tr>
      <w:tr>
        <w:trPr>
          <w:tblHeader w:val="false"/>
        </w:trPr>
        <w:tc>
          <w:tcPr>
            <w:tcW w:type="dxa" w:w="16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Cultural Adaptation</w:t>
            </w:r>
          </w:p>
        </w:tc>
        <w:tc>
          <w:tcPr>
            <w:tcW w:type="dxa" w:w="16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India/Hinglish</w:t>
            </w:r>
          </w:p>
        </w:tc>
        <w:tc>
          <w:tcPr>
            <w:tcW w:type="dxa" w:w="10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English only</w:t>
            </w:r>
          </w:p>
        </w:tc>
        <w:tc>
          <w:tcPr>
            <w:tcW w:type="dxa" w:w="10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English only</w:t>
            </w:r>
          </w:p>
        </w:tc>
        <w:tc>
          <w:tcPr>
            <w:tcW w:type="dxa" w:w="10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English only</w:t>
            </w:r>
          </w:p>
        </w:tc>
        <w:tc>
          <w:tcPr>
            <w:tcW w:type="dxa" w:w="13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English only</w:t>
            </w:r>
          </w:p>
        </w:tc>
      </w:tr>
      <w:tr>
        <w:trPr>
          <w:tblHeader w:val="false"/>
        </w:trPr>
        <w:tc>
          <w:tcPr>
            <w:tcW w:type="dxa" w:w="16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Encryption</w:t>
            </w:r>
          </w:p>
        </w:tc>
        <w:tc>
          <w:tcPr>
            <w:tcW w:type="dxa" w:w="16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Dual AES-256-GCM</w:t>
            </w:r>
          </w:p>
        </w:tc>
        <w:tc>
          <w:tcPr>
            <w:tcW w:type="dxa" w:w="10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Partial</w:t>
            </w:r>
          </w:p>
        </w:tc>
        <w:tc>
          <w:tcPr>
            <w:tcW w:type="dxa" w:w="10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Partial</w:t>
            </w:r>
          </w:p>
        </w:tc>
        <w:tc>
          <w:tcPr>
            <w:tcW w:type="dxa" w:w="10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No</w:t>
            </w:r>
          </w:p>
        </w:tc>
        <w:tc>
          <w:tcPr>
            <w:tcW w:type="dxa" w:w="13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HIPAA</w:t>
            </w:r>
          </w:p>
        </w:tc>
      </w:tr>
      <w:tr>
        <w:trPr>
          <w:tblHeader w:val="false"/>
        </w:trPr>
        <w:tc>
          <w:tcPr>
            <w:tcW w:type="dxa" w:w="16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Weekly Reports</w:t>
            </w:r>
          </w:p>
        </w:tc>
        <w:tc>
          <w:tcPr>
            <w:tcW w:type="dxa" w:w="16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Yes (opt-in)</w:t>
            </w:r>
          </w:p>
        </w:tc>
        <w:tc>
          <w:tcPr>
            <w:tcW w:type="dxa" w:w="10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No</w:t>
            </w:r>
          </w:p>
        </w:tc>
        <w:tc>
          <w:tcPr>
            <w:tcW w:type="dxa" w:w="10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No</w:t>
            </w:r>
          </w:p>
        </w:tc>
        <w:tc>
          <w:tcPr>
            <w:tcW w:type="dxa" w:w="10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No</w:t>
            </w:r>
          </w:p>
        </w:tc>
        <w:tc>
          <w:tcPr>
            <w:tcW w:type="dxa" w:w="13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Human</w:t>
            </w:r>
          </w:p>
        </w:tc>
      </w:tr>
      <w:tr>
        <w:trPr>
          <w:tblHeader w:val="false"/>
        </w:trPr>
        <w:tc>
          <w:tcPr>
            <w:tcW w:type="dxa" w:w="16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24/7 Availability</w:t>
            </w:r>
          </w:p>
        </w:tc>
        <w:tc>
          <w:tcPr>
            <w:tcW w:type="dxa" w:w="16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Yes</w:t>
            </w:r>
          </w:p>
        </w:tc>
        <w:tc>
          <w:tcPr>
            <w:tcW w:type="dxa" w:w="10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Yes</w:t>
            </w:r>
          </w:p>
        </w:tc>
        <w:tc>
          <w:tcPr>
            <w:tcW w:type="dxa" w:w="10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Yes</w:t>
            </w:r>
          </w:p>
        </w:tc>
        <w:tc>
          <w:tcPr>
            <w:tcW w:type="dxa" w:w="10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Yes</w:t>
            </w:r>
          </w:p>
        </w:tc>
        <w:tc>
          <w:tcPr>
            <w:tcW w:type="dxa" w:w="13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No</w:t>
            </w:r>
          </w:p>
        </w:tc>
      </w:tr>
      <w:tr>
        <w:trPr>
          <w:tblHeader w:val="false"/>
        </w:trPr>
        <w:tc>
          <w:tcPr>
            <w:tcW w:type="dxa" w:w="16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Open Source</w:t>
            </w:r>
          </w:p>
        </w:tc>
        <w:tc>
          <w:tcPr>
            <w:tcW w:type="dxa" w:w="16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Yes</w:t>
            </w:r>
          </w:p>
        </w:tc>
        <w:tc>
          <w:tcPr>
            <w:tcW w:type="dxa" w:w="10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No</w:t>
            </w:r>
          </w:p>
        </w:tc>
        <w:tc>
          <w:tcPr>
            <w:tcW w:type="dxa" w:w="10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No</w:t>
            </w:r>
          </w:p>
        </w:tc>
        <w:tc>
          <w:tcPr>
            <w:tcW w:type="dxa" w:w="10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No</w:t>
            </w:r>
          </w:p>
        </w:tc>
        <w:tc>
          <w:tcPr>
            <w:tcW w:type="dxa" w:w="13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No</w:t>
            </w:r>
          </w:p>
        </w:tc>
      </w:tr>
      <w:tr>
        <w:trPr>
          <w:tblHeader w:val="false"/>
        </w:trPr>
        <w:tc>
          <w:tcPr>
            <w:tcW w:type="dxa" w:w="16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Cost/User/Day</w:t>
            </w:r>
          </w:p>
        </w:tc>
        <w:tc>
          <w:tcPr>
            <w:tcW w:type="dxa" w:w="16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$0.08-0.12</w:t>
            </w:r>
          </w:p>
        </w:tc>
        <w:tc>
          <w:tcPr>
            <w:tcW w:type="dxa" w:w="10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Subscription</w:t>
            </w:r>
          </w:p>
        </w:tc>
        <w:tc>
          <w:tcPr>
            <w:tcW w:type="dxa" w:w="10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Subscription</w:t>
            </w:r>
          </w:p>
        </w:tc>
        <w:tc>
          <w:tcPr>
            <w:tcW w:type="dxa" w:w="10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Subscription</w:t>
            </w:r>
          </w:p>
        </w:tc>
        <w:tc>
          <w:tcPr>
            <w:tcW w:type="dxa" w:w="13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Premium</w:t>
            </w:r>
          </w:p>
        </w:tc>
      </w:tr>
    </w:tbl>
    <w:p>
      <w:r>
        <w:t xml:space="preserve"/>
      </w:r>
    </w:p>
    <w:p>
      <w:pPr>
        <w:spacing w:after="60" w:before="0" w:line="240"/>
        <w:jc w:val="both"/>
      </w:pPr>
      <w:r>
        <w:rPr>
          <w:rFonts w:ascii="Times New Roman" w:cs="Times New Roman" w:eastAsia="Times New Roman" w:hAnsi="Times New Roman"/>
          <w:sz w:val="20"/>
          <w:szCs w:val="20"/>
        </w:rPr>
        <w:t xml:space="preserve">Dr. Aria's primary differentiators emerge clearly in this comparison. It is the only system offering true multi-modal therapeutic depth (CBT, Humanistic, Psychoanalytic) rather than a single modality. It is the only system with a three-tier longitudinal memory architecture enabling therapeutic continuity across unlimited sessions. Its four-level asynchronous crisis detection is the only design that both tracks risk and maintains therapeutic rapport. Its India-specific cultural adaptation, including Hinglish language support, is unique among all reviewed platforms. As an open-source project, Dr. Aria enables community-driven safety auditing—a property of particular importance for clinical-grade AI systems.</w:t>
      </w:r>
    </w:p>
    <w:p>
      <w:pPr>
        <w:spacing w:after="60" w:before="0" w:line="240"/>
        <w:jc w:val="both"/>
      </w:pPr>
      <w:r>
        <w:rPr>
          <w:rFonts w:ascii="Times New Roman" w:cs="Times New Roman" w:eastAsia="Times New Roman" w:hAnsi="Times New Roman"/>
          <w:sz w:val="20"/>
          <w:szCs w:val="20"/>
        </w:rPr>
        <w:t xml:space="preserve">The cost comparison is also favourable. At $0.08–0.12 per user per day using GPT-4o, Dr. Aria is economically viable for deployment in price-sensitive markets, compared to subscription-based commercial alternatives.</w:t>
      </w:r>
    </w:p>
    <w:p>
      <w:pPr>
        <w:spacing w:after="60" w:before="120"/>
        <w:jc w:val="center"/>
      </w:pPr>
      <w:r>
        <w:rPr>
          <w:rFonts w:ascii="Times New Roman" w:cs="Times New Roman" w:eastAsia="Times New Roman" w:hAnsi="Times New Roman"/>
          <w:b/>
          <w:bCs/>
          <w:caps/>
          <w:sz w:val="20"/>
          <w:szCs w:val="20"/>
        </w:rPr>
        <w:t xml:space="preserve">VI. Conclusions and Future Work</w:t>
      </w:r>
    </w:p>
    <w:p>
      <w:pPr>
        <w:spacing w:after="40" w:before="80"/>
        <w:jc w:val="left"/>
      </w:pPr>
      <w:r>
        <w:rPr>
          <w:rFonts w:ascii="Times New Roman" w:cs="Times New Roman" w:eastAsia="Times New Roman" w:hAnsi="Times New Roman"/>
          <w:i/>
          <w:iCs/>
          <w:sz w:val="20"/>
          <w:szCs w:val="20"/>
        </w:rPr>
        <w:t xml:space="preserve">A. Conclusions</w:t>
      </w:r>
    </w:p>
    <w:p>
      <w:pPr>
        <w:spacing w:after="60" w:before="0" w:line="240"/>
        <w:jc w:val="both"/>
      </w:pPr>
      <w:r>
        <w:rPr>
          <w:rFonts w:ascii="Times New Roman" w:cs="Times New Roman" w:eastAsia="Times New Roman" w:hAnsi="Times New Roman"/>
          <w:sz w:val="20"/>
          <w:szCs w:val="20"/>
        </w:rPr>
        <w:t xml:space="preserve">This paper has presented Dr. Aria, an AI-powered psychotherapy system that addresses critical architectural gaps in existing mental health AI. The nine-section modular prompt corpus, three-tier hierarchical memory system, silent clinical observer, and non-disruptive four-level crisis detection framework collectively produce therapeutic interactions scoring 99/120 (82.5%) on a 12-case clinical evaluation scorecard—with 9 Pass, 3 Review, and 0 Fail ratings. The dual-mode AES-256-GCM encryption architecture offers a novel privacy design allowing users to choose between server-assisted functionality and zero-knowledge privacy—a tradeoff unavailable in any existing commercial system. India-specific cultural adaptation, including Hinglish support, makes Dr. Aria the first AI psychotherapy system explicitly designed for the South Asian mental health context.</w:t>
      </w:r>
    </w:p>
    <w:p>
      <w:pPr>
        <w:spacing w:after="60" w:before="0" w:line="240"/>
        <w:jc w:val="both"/>
      </w:pPr>
      <w:r>
        <w:rPr>
          <w:rFonts w:ascii="Times New Roman" w:cs="Times New Roman" w:eastAsia="Times New Roman" w:hAnsi="Times New Roman"/>
          <w:sz w:val="20"/>
          <w:szCs w:val="20"/>
        </w:rPr>
        <w:t xml:space="preserve">Real-world streaming benchmarks record a median TTFT of 2316 ms and 18 tokens per second under GPT-4o in uncontrolled network conditions. Identified weaknesses—Question Discipline (70.8%) and Clinical Depth (70.8%)—are traceable to specific prompt sections and represent clear improvement pathways. The strongest criterion, No Unsolicited Advice (95.8%), confirms that the Rules section effectively suppresses a key anti-pattern in AI therapeutic systems. Background observer processing adds no perceptible latency, and the weekly reporting pipeline generates clinically meaningful session summaries that seed subsequent therapeutic contexts.</w:t>
      </w:r>
    </w:p>
    <w:p>
      <w:pPr>
        <w:spacing w:after="40" w:before="80"/>
        <w:jc w:val="left"/>
      </w:pPr>
      <w:r>
        <w:rPr>
          <w:rFonts w:ascii="Times New Roman" w:cs="Times New Roman" w:eastAsia="Times New Roman" w:hAnsi="Times New Roman"/>
          <w:i/>
          <w:iCs/>
          <w:sz w:val="20"/>
          <w:szCs w:val="20"/>
        </w:rPr>
        <w:t xml:space="preserve">B. Limitations</w:t>
      </w:r>
    </w:p>
    <w:p>
      <w:pPr>
        <w:spacing w:after="60" w:before="0" w:line="240"/>
        <w:jc w:val="both"/>
      </w:pPr>
      <w:r>
        <w:rPr>
          <w:rFonts w:ascii="Times New Roman" w:cs="Times New Roman" w:eastAsia="Times New Roman" w:hAnsi="Times New Roman"/>
          <w:sz w:val="20"/>
          <w:szCs w:val="20"/>
        </w:rPr>
        <w:t xml:space="preserve">The system relies entirely on OpenAI's API, creating dependency on a commercial provider with variable pricing and availability. Clinical efficacy has not been validated through a randomised controlled trial with standardized outcome measures such as the PHQ-9 or GAD-7. Question Discipline (70.8%) and Clinical Depth (70.8%) on the evaluation scorecard are below the target of 85%, indicating prompt-level weaknesses in TC2, TC5, and TC9 that require targeted revision. The single bullet-point detected in TC5 (Response Structure score: 0) is a specific structural failure attributable to the current rules prompt. The system is not a replacement for licensed mental health care and explicitly communicates this to users.</w:t>
      </w:r>
    </w:p>
    <w:p>
      <w:pPr>
        <w:spacing w:after="40" w:before="80"/>
        <w:jc w:val="left"/>
      </w:pPr>
      <w:r>
        <w:rPr>
          <w:rFonts w:ascii="Times New Roman" w:cs="Times New Roman" w:eastAsia="Times New Roman" w:hAnsi="Times New Roman"/>
          <w:i/>
          <w:iCs/>
          <w:sz w:val="20"/>
          <w:szCs w:val="20"/>
        </w:rPr>
        <w:t xml:space="preserve">C. Future Work</w:t>
      </w:r>
    </w:p>
    <w:p>
      <w:pPr>
        <w:spacing w:after="60" w:before="0" w:line="240"/>
        <w:jc w:val="both"/>
      </w:pPr>
      <w:r>
        <w:rPr>
          <w:rFonts w:ascii="Times New Roman" w:cs="Times New Roman" w:eastAsia="Times New Roman" w:hAnsi="Times New Roman"/>
          <w:sz w:val="20"/>
          <w:szCs w:val="20"/>
        </w:rPr>
        <w:t xml:space="preserve">Planned extensions include: Retrieval-Augmented Generation (RAG) grounding Dr. Aria's interventions against indexed psychological literature; voice interface via audio streaming for accessibility and naturalness; a React Native mobile application for on-demand access; formal clinical evaluation with PHQ-9 and GAD-7 pre-post measurement integration; multilingual expansion beyond English and Hinglish to Tamil, Bengali, and Telugu; a licensed therapist escalation API for referral pathways; and automated emergency contact notification at Crisis Level 4 with user-configured consent.</w:t>
      </w:r>
    </w:p>
    <w:p>
      <w:pPr>
        <w:spacing w:after="60" w:before="120"/>
        <w:jc w:val="center"/>
      </w:pPr>
      <w:r>
        <w:rPr>
          <w:rFonts w:ascii="Times New Roman" w:cs="Times New Roman" w:eastAsia="Times New Roman" w:hAnsi="Times New Roman"/>
          <w:b/>
          <w:bCs/>
          <w:caps/>
          <w:sz w:val="20"/>
          <w:szCs w:val="20"/>
        </w:rPr>
        <w:t xml:space="preserve">. References</w:t>
      </w:r>
    </w:p>
    <w:p>
      <w:pPr>
        <w:spacing w:after="40" w:before="0"/>
        <w:ind w:left="360" w:hanging="360"/>
      </w:pPr>
      <w:r>
        <w:rPr>
          <w:rFonts w:ascii="Times New Roman" w:cs="Times New Roman" w:eastAsia="Times New Roman" w:hAnsi="Times New Roman"/>
          <w:sz w:val="18"/>
          <w:szCs w:val="18"/>
        </w:rPr>
        <w:t xml:space="preserve">[1] World Health Organization, "Depressive disorder (depression)," WHO Fact Sheets, Mar. 2023. [Online]. Available: https://www.who.int/news-room/fact-sheets/detail/depression</w:t>
      </w:r>
    </w:p>
    <w:p>
      <w:pPr>
        <w:spacing w:after="40" w:before="0"/>
        <w:ind w:left="360" w:hanging="360"/>
      </w:pPr>
      <w:r>
        <w:rPr>
          <w:rFonts w:ascii="Times New Roman" w:cs="Times New Roman" w:eastAsia="Times New Roman" w:hAnsi="Times New Roman"/>
          <w:sz w:val="18"/>
          <w:szCs w:val="18"/>
        </w:rPr>
        <w:t xml:space="preserve">[2] World Health Organization, "Mental Health Atlas 2020," WHO Press, Geneva, Switzerland, 2021.</w:t>
      </w:r>
    </w:p>
    <w:p>
      <w:pPr>
        <w:spacing w:after="40" w:before="0"/>
        <w:ind w:left="360" w:hanging="360"/>
      </w:pPr>
      <w:r>
        <w:rPr>
          <w:rFonts w:ascii="Times New Roman" w:cs="Times New Roman" w:eastAsia="Times New Roman" w:hAnsi="Times New Roman"/>
          <w:sz w:val="18"/>
          <w:szCs w:val="18"/>
        </w:rPr>
        <w:t xml:space="preserve">[3] J. Torous et al., "Digital mental health and COVID-19: Using technology today to accelerate the curve on access and quality tomorrow," JMIR Mental Health, vol. 7, no. 3, p. e18848, 2020.</w:t>
      </w:r>
    </w:p>
    <w:p>
      <w:pPr>
        <w:spacing w:after="40" w:before="0"/>
        <w:ind w:left="360" w:hanging="360"/>
      </w:pPr>
      <w:r>
        <w:rPr>
          <w:rFonts w:ascii="Times New Roman" w:cs="Times New Roman" w:eastAsia="Times New Roman" w:hAnsi="Times New Roman"/>
          <w:sz w:val="18"/>
          <w:szCs w:val="18"/>
        </w:rPr>
        <w:t xml:space="preserve">[4] K. K. Fitzpatrick, A. Darcy, and M. Vierhile, "Delivering cognitive behavior therapy to young adults with symptoms of depression and anxiety using a fully automated conversational agent (Woebot): A randomized controlled trial," JMIR Mental Health, vol. 4, no. 2, p. e19, 2017.</w:t>
      </w:r>
    </w:p>
    <w:p>
      <w:pPr>
        <w:spacing w:after="40" w:before="0"/>
        <w:ind w:left="360" w:hanging="360"/>
      </w:pPr>
      <w:r>
        <w:rPr>
          <w:rFonts w:ascii="Times New Roman" w:cs="Times New Roman" w:eastAsia="Times New Roman" w:hAnsi="Times New Roman"/>
          <w:sz w:val="18"/>
          <w:szCs w:val="18"/>
        </w:rPr>
        <w:t xml:space="preserve">[5] B. Inkster, S. Sarda, and V. Subramanian, "An empathy-driven, conversational artificial intelligence agent (Wysa) for digital mental well-being: Real-world data evaluation mixed-methods study," JMIR mHealth uHealth, vol. 6, no. 11, p. e12106, 2018.</w:t>
      </w:r>
    </w:p>
    <w:p>
      <w:pPr>
        <w:spacing w:after="40" w:before="0"/>
        <w:ind w:left="360" w:hanging="360"/>
      </w:pPr>
      <w:r>
        <w:rPr>
          <w:rFonts w:ascii="Times New Roman" w:cs="Times New Roman" w:eastAsia="Times New Roman" w:hAnsi="Times New Roman"/>
          <w:sz w:val="18"/>
          <w:szCs w:val="18"/>
        </w:rPr>
        <w:t xml:space="preserve">[6] E. Shum, "Replika: My AI companion," Luka Inc., San Francisco, CA, 2017.</w:t>
      </w:r>
    </w:p>
    <w:p>
      <w:pPr>
        <w:spacing w:after="40" w:before="0"/>
        <w:ind w:left="360" w:hanging="360"/>
      </w:pPr>
      <w:r>
        <w:rPr>
          <w:rFonts w:ascii="Times New Roman" w:cs="Times New Roman" w:eastAsia="Times New Roman" w:hAnsi="Times New Roman"/>
          <w:sz w:val="18"/>
          <w:szCs w:val="18"/>
        </w:rPr>
        <w:t xml:space="preserve">[7] Headspace Health, "Ginger: On-demand mental healthcare," Headspace Health Inc., 2023. [Online]. Available: https://www.headspacehealth.com</w:t>
      </w:r>
    </w:p>
    <w:p>
      <w:pPr>
        <w:spacing w:after="40" w:before="0"/>
        <w:ind w:left="360" w:hanging="360"/>
      </w:pPr>
      <w:r>
        <w:rPr>
          <w:rFonts w:ascii="Times New Roman" w:cs="Times New Roman" w:eastAsia="Times New Roman" w:hAnsi="Times New Roman"/>
          <w:sz w:val="18"/>
          <w:szCs w:val="18"/>
        </w:rPr>
        <w:t xml:space="preserve">[8] B. Inkster, S. Sarda, and V. Subramanian, "An empathy-driven, conversational artificial intelligence agent for digital mental well-being," npj Digital Medicine, vol. 1, no. 1, pp. 1–8, 2018.</w:t>
      </w:r>
    </w:p>
    <w:p>
      <w:pPr>
        <w:spacing w:after="40" w:before="0"/>
        <w:ind w:left="360" w:hanging="360"/>
      </w:pPr>
      <w:r>
        <w:rPr>
          <w:rFonts w:ascii="Times New Roman" w:cs="Times New Roman" w:eastAsia="Times New Roman" w:hAnsi="Times New Roman"/>
          <w:sz w:val="18"/>
          <w:szCs w:val="18"/>
        </w:rPr>
        <w:t xml:space="preserve">[9] A. S. Miner et al., "Smartphone-based conversational agents and responses to questions about mental health, interpersonal violence, and physical health," JAMA Internal Medicine, vol. 176, no. 5, pp. 619–625, 2016.</w:t>
      </w:r>
    </w:p>
    <w:p>
      <w:pPr>
        <w:spacing w:after="40" w:before="0"/>
        <w:ind w:left="360" w:hanging="360"/>
      </w:pPr>
      <w:r>
        <w:rPr>
          <w:rFonts w:ascii="Times New Roman" w:cs="Times New Roman" w:eastAsia="Times New Roman" w:hAnsi="Times New Roman"/>
          <w:sz w:val="18"/>
          <w:szCs w:val="18"/>
        </w:rPr>
        <w:t xml:space="preserve">[10] L. Laranjo et al., "Conversational agents in healthcare: A systematic review," Journal of the American Medical Informatics Association, vol. 25, no. 9, pp. 1248–1258, 2018.</w:t>
      </w:r>
    </w:p>
    <w:p>
      <w:pPr>
        <w:spacing w:after="40" w:before="0"/>
        <w:ind w:left="360" w:hanging="360"/>
      </w:pPr>
      <w:r>
        <w:rPr>
          <w:rFonts w:ascii="Times New Roman" w:cs="Times New Roman" w:eastAsia="Times New Roman" w:hAnsi="Times New Roman"/>
          <w:sz w:val="18"/>
          <w:szCs w:val="18"/>
        </w:rPr>
        <w:t xml:space="preserve">[11] J. Hua et al., "Large language models in mental health care: A scoping review," arXiv preprint arXiv:2401.02984, 2024.</w:t>
      </w:r>
    </w:p>
    <w:p>
      <w:pPr>
        <w:spacing w:after="40" w:before="0"/>
        <w:ind w:left="360" w:hanging="360"/>
      </w:pPr>
      <w:r>
        <w:rPr>
          <w:rFonts w:ascii="Times New Roman" w:cs="Times New Roman" w:eastAsia="Times New Roman" w:hAnsi="Times New Roman"/>
          <w:sz w:val="18"/>
          <w:szCs w:val="18"/>
        </w:rPr>
        <w:t xml:space="preserve">[12] J. Henrich, S. J. Heine, and A. Norenzayan, "The weirdest people in the world?" Behavioral and Brain Sciences, vol. 33, no. 2–3, pp. 61–83, 2010.</w:t>
      </w:r>
    </w:p>
    <w:p>
      <w:pPr>
        <w:spacing w:after="40" w:before="0"/>
        <w:ind w:left="360" w:hanging="360"/>
      </w:pPr>
      <w:r>
        <w:rPr>
          <w:rFonts w:ascii="Times New Roman" w:cs="Times New Roman" w:eastAsia="Times New Roman" w:hAnsi="Times New Roman"/>
          <w:sz w:val="18"/>
          <w:szCs w:val="18"/>
        </w:rPr>
        <w:t xml:space="preserve">[13] B. E. Wampold, The Great Psychotherapy Debate: Models, Methods, and Findings. Mahwah, NJ: Lawrence Erlbaum Associates, 2001.</w:t>
      </w:r>
    </w:p>
    <w:p>
      <w:pPr>
        <w:spacing w:after="40" w:before="0"/>
        <w:ind w:left="360" w:hanging="360"/>
      </w:pPr>
      <w:r>
        <w:rPr>
          <w:rFonts w:ascii="Times New Roman" w:cs="Times New Roman" w:eastAsia="Times New Roman" w:hAnsi="Times New Roman"/>
          <w:sz w:val="18"/>
          <w:szCs w:val="18"/>
        </w:rPr>
        <w:t xml:space="preserve">[14] M. J. Lambert, "Psychotherapy outcome research: Implications for integrative and eclectic therapists," in Handbook of Psychotherapy Integration, J. C. Norcross and M. R. Goldfried, Eds. New York: Basic Books, 1992, pp. 94–129.</w:t>
      </w:r>
    </w:p>
    <w:p>
      <w:pPr>
        <w:spacing w:after="40" w:before="0"/>
        <w:ind w:left="360" w:hanging="360"/>
      </w:pPr>
      <w:r>
        <w:rPr>
          <w:rFonts w:ascii="Times New Roman" w:cs="Times New Roman" w:eastAsia="Times New Roman" w:hAnsi="Times New Roman"/>
          <w:sz w:val="18"/>
          <w:szCs w:val="18"/>
        </w:rPr>
        <w:t xml:space="preserve">[15] OpenAI, "GPT-4 technical report," arXiv preprint arXiv:2303.08774, 2023.</w:t>
      </w:r>
    </w:p>
    <w:p>
      <w:pPr>
        <w:spacing w:after="40" w:before="0"/>
        <w:ind w:left="360" w:hanging="360"/>
      </w:pPr>
      <w:r>
        <w:rPr>
          <w:rFonts w:ascii="Times New Roman" w:cs="Times New Roman" w:eastAsia="Times New Roman" w:hAnsi="Times New Roman"/>
          <w:sz w:val="18"/>
          <w:szCs w:val="18"/>
        </w:rPr>
        <w:t xml:space="preserve">[15b] S. Kim, J. Park, and H. Lee, "Aesthetic warmth in conversational interfaces moderates self-disclosure in mental health applications: A randomised experiment," Computers in Human Behavior, vol. 141, p. 107631, 2023.</w:t>
      </w:r>
    </w:p>
    <w:p>
      <w:pPr>
        <w:spacing w:after="40" w:before="0"/>
        <w:ind w:left="360" w:hanging="360"/>
      </w:pPr>
      <w:r>
        <w:rPr>
          <w:rFonts w:ascii="Times New Roman" w:cs="Times New Roman" w:eastAsia="Times New Roman" w:hAnsi="Times New Roman"/>
          <w:sz w:val="18"/>
          <w:szCs w:val="18"/>
        </w:rPr>
        <w:t xml:space="preserve">[15c] C. Hollis et al., "Annual Research Review: Digital health interventions for children and young people with mental health problems — a systematic and meta-review," Journal of Child Psychology and Psychiatry, vol. 58, no. 4, pp. 474–503, 2017.</w:t>
      </w:r>
    </w:p>
    <w:sectPr>
      <w:footerReference w:type="default" r:id="rId8"/>
      <w:pgSz w:w="12240" w:h="15840" w:orient="portrait"/>
      <w:pgMar w:top="1080" w:right="1080" w:bottom="1080" w:left="1080" w:header="708" w:footer="708" w:gutter="0"/>
      <w:pgNumType/>
      <w:cols w:space="72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2026-04-27T09:25:24.285Z</dcterms:created>
  <dcterms:modified xsi:type="dcterms:W3CDTF">2026-04-27T09:25:24.286Z</dcterms:modified>
</cp:coreProperties>
</file>

<file path=docProps/custom.xml><?xml version="1.0" encoding="utf-8"?>
<Properties xmlns="http://schemas.openxmlformats.org/officeDocument/2006/custom-properties" xmlns:vt="http://schemas.openxmlformats.org/officeDocument/2006/docPropsVTypes"/>
</file>