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Borders>
              <w:top w:val="none" w:color="FFFFFF" w:sz="0"/>
              <w:left w:val="single" w:color="0D7377" w:sz="20"/>
              <w:bottom w:val="single" w:color="0F2D5C" w:sz="8"/>
              <w:right w:val="none" w:color="FFFFFF" w:sz="0"/>
            </w:tcBorders>
            <w:shd w:fill="F0F4FA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30"/>
                <w:szCs w:val="30"/>
              </w:rPr>
              <w:t xml:space="preserve">AI Cost Variables  +  Tooling Framework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Infrastructure to Application  ·  7 Layers  ·  40+ Variables  ·  Open-Source &amp; Commercial Tool Map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Every cost driver defined, its optimisation opportunity stated, the exact telemetry needed to detect it, and the recommended open-source or commercial tool to capture and act on it.</w:t>
            </w:r>
          </w:p>
        </w:tc>
      </w:tr>
    </w:tbl>
    <w:p>
      <w:pPr>
        <w:spacing w:after="0" w:before="1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Borders>
              <w:top w:val="single" w:color="CCCCCC" w:sz="4"/>
              <w:left w:val="single" w:color="0F2D5C" w:sz="16"/>
              <w:bottom w:val="single" w:color="CCCCCC" w:sz="4"/>
              <w:right w:val="single" w:color="CCCCCC" w:sz="4"/>
            </w:tcBorders>
            <w:shd w:fill="F0F4FA" w:val="clear"/>
            <w:tcMar>
              <w:top w:type="dxa" w:w="16"/>
              <w:left w:type="dxa" w:w="120"/>
              <w:bottom w:type="dxa" w:w="16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7"/>
                <w:szCs w:val="17"/>
              </w:rPr>
              <w:t xml:space="preserve">How to read this document: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Each cost variable table has 5 columns: (1) Cost Variable — name and layer. (2) Definition — what it is. (3) ⚡ Cost Driver / ✓ Optimisation Opportunity. (4) Telemetry Required — exact metric names and sources. (5) Recommended Tooling — open-source (OSS) and commercial tools that provide this signal or enable the optimisation. The Tooling Chapter at the end maps every tool across layers with build-vs-buy guidance.</w:t>
            </w:r>
          </w:p>
        </w:tc>
      </w:tr>
    </w:tbl>
    <w:p>
      <w:pPr>
        <w:spacing w:after="0" w:before="1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Borders>
              <w:top w:val="single" w:color="CCCCCC" w:sz="4"/>
              <w:left w:val="single" w:color="A32D2D" w:sz="20"/>
              <w:bottom w:val="single" w:color="CCCCCC" w:sz="4"/>
              <w:right w:val="single" w:color="CCCCCC" w:sz="4"/>
            </w:tcBorders>
            <w:shd w:fill="A32D2D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 1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GPU &amp; Compute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5"/>
                <w:szCs w:val="15"/>
              </w:rPr>
              <w:t xml:space="preserve">—  Idle · Utilisation · MIG · CPU stall · Spot waste</w:t>
            </w:r>
          </w:p>
        </w:tc>
      </w:tr>
    </w:tbl>
    <w:p>
      <w:pPr>
        <w:spacing w:after="0" w:before="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400"/>
        <w:gridCol w:w="2300"/>
        <w:gridCol w:w="2000"/>
      </w:tblGrid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32D2D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Cost Variable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32D2D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32D2D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Driver  →  Opportunity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32D2D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Telemetry  (metric / source)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32D2D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Tooling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4"/>
                <w:szCs w:val="14"/>
              </w:rPr>
              <w:t xml:space="preserve">GPU Idle Time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GPU provisioned and powered on but running no compute — training cluster idle between jobs.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Full hourly GPU rate billed even at 0% utilisation; idle clusters are the #1 GPU waste pattern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Detect idle &gt;10 min → scale-down or spot reclaim; separate reservation vs on-demand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dcgm_gpu_utilization (per GPU)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cloud billing instance start/stop events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job queue depth (Slurm/K8s scheduler)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DCGM + Prometheus + Grafana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KEDA (event-driven scale-to-zero)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run:ai (idle detection + auto-reclaim)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Spot.io (idle GPU spot orchestration)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4"/>
                <w:szCs w:val="14"/>
              </w:rPr>
              <w:t xml:space="preserve">GPU Utilisation Rate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% of GPU SM cycles executing real matrix operations — the core efficiency metric for any GPU workload.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Training at 30–50% SM utilisation wastes 50–70% of GPU cost per hour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Tune batch size, enable tensor parallelism, Flash Attention; every +10% util = -10% cost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dcgm_gpu_sm_utilization (%)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dcgm_gpu_fp16/tensor_active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NVIDIA Nsight Systems kernel trace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DCGM Exporter + Prometheus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PyTorch Profiler / NVIDIA Nsight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Weights &amp; Biases (training efficiency tracking)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4"/>
                <w:szCs w:val="14"/>
              </w:rPr>
              <w:t xml:space="preserve">GPU Memory Utilisation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Fraction of GPU HBM in active use — determines whether a smaller GPU tier is sufficient.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A100 80GB billed when model fits in L4 24GB; 3× unnecessary cost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Quantise model (FP16→INT8/INT4); MIG slicing; right-size GPU tier per workload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dcgm_gpu_mem_used/total_bytes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peak memory watermark per training step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OOM kill events from kubelet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DCGM + kube-state-metrics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bitsandbytes / GPTQ (quantisation)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NIM (optimised model serving)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4"/>
                <w:szCs w:val="14"/>
              </w:rPr>
              <w:t xml:space="preserve">GPU MIG Efficiency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Utilisation of each MIG slice vs cost of the full physical GPU it is carved from.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Small inference workload using full A100 when 1g.10gb MIG slice suffices; 6/7 wasted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Profile concurrency + memory per service; right-size to appropriate MIG instance type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DCGM per-MIG-instance metrics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request rate per MIG slice vs capacity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GPU Operator CRD MIG config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GPU Operator (MIG manager)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DCGM Exporter (MIG metrics)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run:ai (MIG-aware scheduling)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4"/>
                <w:szCs w:val="14"/>
              </w:rPr>
              <w:t xml:space="preserve">CPU–GPU Stall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CPU-bound data loading that starves the GPU — GPU waits idle while CPU prepares the next batch.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GPU idles while CPU dataloaders run; both GPU and CPU billed at full rate for wasted time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Use NVIDIA DALI (GPU-native data pipeline), async prefetch, increase DataLoader workers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GPU compute stall ratio (dcgm_gpu_active vs queue depth)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CPU iowait time per worker node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Dataloader throughput (samples/sec) vs GPU throughput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DALI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Prometheus node_exporter (CPU I/O wait)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PyTorch Profiler (stall breakdown)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4"/>
                <w:szCs w:val="14"/>
              </w:rPr>
              <w:t xml:space="preserve">Spot Preemption Waste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Cost of incomplete GPU work when spot instances are reclaimed — full re-run from last checkpoint.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No checkpointing → 100% rework cost on preemption; at $10/hr × 8h = $80 wasted per preemption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Optimal checkpoint interval (checkpoint I/O cost vs expected rework cost formula)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Spot interruption events (cloud metadata API)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Gap: last checkpoint ts vs interruption 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Checkpoint write duration + storage cost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FaultTolerance (torchft) / PyTorch Elastic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Slurm preemption hooks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Spot.io / AWS Spot Fleet with custom interruption handler</w:t>
            </w:r>
          </w:p>
        </w:tc>
      </w:tr>
    </w:tbl>
    <w:p>
      <w:pPr>
        <w:spacing w:after="0" w:before="1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Borders>
              <w:top w:val="single" w:color="CCCCCC" w:sz="4"/>
              <w:left w:val="single" w:color="4B2D8C" w:sz="20"/>
              <w:bottom w:val="single" w:color="CCCCCC" w:sz="4"/>
              <w:right w:val="single" w:color="CCCCCC" w:sz="4"/>
            </w:tcBorders>
            <w:shd w:fill="4B2D8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 2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Memory &amp; Storage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5"/>
                <w:szCs w:val="15"/>
              </w:rPr>
              <w:t xml:space="preserve">—  Checkpoints · Dataset I/O · Model weights · Vector DB · KV Cache</w:t>
            </w:r>
          </w:p>
        </w:tc>
      </w:tr>
    </w:tbl>
    <w:p>
      <w:pPr>
        <w:spacing w:after="0" w:before="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400"/>
        <w:gridCol w:w="2300"/>
        <w:gridCol w:w="2000"/>
      </w:tblGrid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2D8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Cost Variable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2D8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2D8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Driver  →  Opportunity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2D8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Telemetry  (metric / source)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2D8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Tooling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4"/>
                <w:szCs w:val="14"/>
              </w:rPr>
              <w:t xml:space="preserve">Model Checkpoint Storage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Disk cost of saving model state — full checkpoints of large models are very expensive at scale.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70B model = ~140GB/checkpoint; 10 checkpoints/run × 50 runs = 70TB storage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Incremental/delta checkpoints; keep last-N policy; auto-tier to cold storage after 48h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Checkpoint file count, size, frequency (S3 object metadata)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Storage cost/GB/month by tier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Orphaned checkpoints (no active run in experiment tracker)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MLflow / DVC (checkpoint tracking)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rclone + S3 lifecycle policies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Weights &amp; Biases Artifacts (lifecycle management)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4"/>
                <w:szCs w:val="14"/>
              </w:rPr>
              <w:t xml:space="preserve">Training Dataset I/O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Cost of reading training data into GPU memory — S3/GCS reads billed per GB + egress.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Cold S3 reads at $0.09/GB egress; repeated reads per epoch without caching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Cache hot datasets on local NVMe; streaming with shuffle buffer; async prefetch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S3/GCS request metrics (GET requests × size)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Dataset read throughput vs GPU memory bandwidth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Cache hit rate on NVMe cache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Mosaic StreamingDataset / NVIDIA DALI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MinIO (on-prem S3 cache layer)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Weka.io / VAST Data (parallel AI storage)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4"/>
                <w:szCs w:val="14"/>
              </w:rPr>
              <w:t xml:space="preserve">Model Weight Storage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Persistent storage of model weights, fine-tuned adapters, quantised variants and shadow copies.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Multiple copies of same base model in FP32/FP16/INT8 stored redundantly across teams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Central model registry; store LoRA adapters only (&lt;1% of full model size); auto-expire stale versions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Model registry version count + last-accessed 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Format per version (FP32/FP16/INT8)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Storage cost per model family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MLflow Model Registry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Hugging Face Hub (self-hosted)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Weights &amp; Biases Registry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NGC Private Registry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4"/>
                <w:szCs w:val="14"/>
              </w:rPr>
              <w:t xml:space="preserve">Vector DB Cost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Storage and compute for embedding vectors, metadata, and similarity index maintenance.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Re-embedding unchanged documents on every pipeline run; full index rebuilds are expensive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Hash-based embedding dedup; incremental index update; hot/cold index tiering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Embedding API call count + token volume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Vector DB index size over time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Cache hit rate on embedding lookups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Qdrant / Weaviate / Chroma (self-hosted)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Redis (semantic cache layer)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Pinecone / Zilliz Cloud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cuVS (GPU-accelerated vector search)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4"/>
                <w:szCs w:val="14"/>
              </w:rPr>
              <w:t xml:space="preserve">KV Cache Efficiency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Reuse of computed key-value attention tensors — low hit rate means recomputing context every request.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0% KV cache hit = full context recomputed every request; multiplies GPU cost per token linearly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Prefix caching for shared system prompts; RadixAttention (SGLang); increase KV cache allocation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KV cache hit rate % (vLLM/TGI metrics)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Tokens recomputed per request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GPU memory: KV cache vs model weights split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vLLM (prefix caching built-in)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SGLang (RadixAttention)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NIM (optimised KV management)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4"/>
                <w:szCs w:val="14"/>
              </w:rPr>
              <w:t xml:space="preserve">Redundant Data Copies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Multiple copies of the same dataset or artifact stored across teams, environments and regions.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Each team copies shared datasets to own bucket; same 10TB dataset copied 5× = $1,500/month waste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Central dataset registry with access control; content-hash dedup audit; shared read-only data lake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Cross-account S3 bucket content hash scan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Data transfer logs (same hash moved between buckets)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D8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Storage billing per team/project tag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DVC (dataset version control + dedup)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Apache Iceberg (shared data lake with access control)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Databricks Unity Catalog / AWS Lake Formation</w:t>
            </w:r>
          </w:p>
        </w:tc>
      </w:tr>
    </w:tbl>
    <w:p>
      <w:pPr>
        <w:spacing w:after="0" w:before="1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Borders>
              <w:top w:val="single" w:color="CCCCCC" w:sz="4"/>
              <w:left w:val="single" w:color="334155" w:sz="20"/>
              <w:bottom w:val="single" w:color="CCCCCC" w:sz="4"/>
              <w:right w:val="single" w:color="CCCCCC" w:sz="4"/>
            </w:tcBorders>
            <w:shd w:fill="334155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 3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Network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5"/>
                <w:szCs w:val="15"/>
              </w:rPr>
              <w:t xml:space="preserve">—  Egress · InfiniBand · NVLink · API retries · Service mesh</w:t>
            </w:r>
          </w:p>
        </w:tc>
      </w:tr>
    </w:tbl>
    <w:p>
      <w:pPr>
        <w:spacing w:after="0" w:before="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400"/>
        <w:gridCol w:w="2300"/>
        <w:gridCol w:w="2000"/>
      </w:tblGrid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Cost Variable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Driver  →  Opportunity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Telemetry  (metric / source)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155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Tooling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4"/>
                <w:szCs w:val="14"/>
              </w:rPr>
              <w:t xml:space="preserve">Egress Costs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Cloud charges for data transferred out of a region — amplified by large model outputs and cross-region training data.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Inference responses to users in different regions; training data pulled cross-region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Serve inference from nearest region; compress responses; CDN for repeated outputs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Cloud billing export (region-pair transfer volume + cost)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Response payload size per endpoint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Cross-region vs same-region transfer ratio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Infracost (cloud cost estimation in CI/CD)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Envoy (response compression middleware)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Cloudflare Workers AI (edge inference)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AWS CloudFront / GCP CDN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4"/>
                <w:szCs w:val="14"/>
              </w:rPr>
              <w:t xml:space="preserve">InfiniBand / RDMA Efficiency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Utilisation of high-speed GPU interconnect during distributed training all-reduce operations.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Unbalanced all-reduce or misconfigured NCCL wastes IB bandwidth and stalls training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Profile NCCL collectives; tune chunk size + algorithm; ensure jobs on same IB rail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NCCL profiling output (all-reduce bandwidth per step)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IB port counters via UFM (Tx/Rx bytes, errors)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GPU wait time on collectives (dcgm_nvlink_bandwidth)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NCCL + NCCL Tests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UFM (InfiniBand Fabric Manager)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Prometheus IB Exporter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Quantum-2 InfiniBand ecosystem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4"/>
                <w:szCs w:val="14"/>
              </w:rPr>
              <w:t xml:space="preserve">NVLink Fabric Efficiency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GPU-to-GPU NVLink bandwidth consumed during tensor and pipeline parallelism within a node.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Wrong parallelism degree saturates or underuses NVLink; slows training, wastes GPU time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Profile NVLink bandwidth vs TP/PP degree; find optimal parallelism split for model + GPU count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dcgm_nvlink_bandwidth_tx/rx per GPU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NVLink error counts (correctable/uncorrectable)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Tokens/sec per GPU vs single-GPU baseline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DCGM Exporter (NVLink metrics)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Nsight Systems (inter-GPU comms overlap)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NVSwitch telemetry via NMX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4"/>
                <w:szCs w:val="14"/>
              </w:rPr>
              <w:t xml:space="preserve">API Retry Network Waste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Duplicate token payloads retransmitted when LLM API rate limits trigger client-side retries.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Each retry = full prompt retransmitted + possible duplicate billing at provider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Exponential backoff + jitter; request queue with rate limiter; pre-check token budget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HTTP 429 rate per endpoint + API key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Retry count per request from middleware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Wasted cost = (retries-1) × prompt_tokens × cost_per_token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LiteLLM (unified LLM gateway with retry logic + rate limiting)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Prometheus (HTTP 429 rate tracking)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Kong AI Gateway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Portkey.ai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4"/>
                <w:szCs w:val="14"/>
              </w:rPr>
              <w:t xml:space="preserve">Service Mesh Overhead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CPU and latency overhead of sidecar proxies on high-throughput AI inference services.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Envoy sidecar adds 5–15% CPU overhead per request; at 1000 RPS = significant waste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Profile sidecar CPU on inference pods; offload mTLS to DPU; consider ambient mesh (no sidecar)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Sidecar container CPU (cpu_usage_seconds_total per sidecar)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p99 latency with vs without sidecar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Envoy request duration histogram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Cilium (eBPF-native, no sidecar)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Istio Ambient Mesh (sidecar-less)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BlueField DPU (offload mTLS/policy to DPU)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Solo.io Gloo Mesh</w:t>
            </w:r>
          </w:p>
        </w:tc>
      </w:tr>
    </w:tbl>
    <w:p>
      <w:pPr>
        <w:spacing w:after="0" w:before="1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Borders>
              <w:top w:val="single" w:color="CCCCCC" w:sz="4"/>
              <w:left w:val="single" w:color="0D7377" w:sz="20"/>
              <w:bottom w:val="single" w:color="CCCCCC" w:sz="4"/>
              <w:right w:val="single" w:color="CCCCCC" w:sz="4"/>
            </w:tcBorders>
            <w:shd w:fill="0D7377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 4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Platform / Kubernetes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5"/>
                <w:szCs w:val="15"/>
              </w:rPr>
              <w:t xml:space="preserve">—  Cluster idle · Pod over-requests · Scheduling · Image pull · Observability self-cost</w:t>
            </w:r>
          </w:p>
        </w:tc>
      </w:tr>
    </w:tbl>
    <w:p>
      <w:pPr>
        <w:spacing w:after="0" w:before="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400"/>
        <w:gridCol w:w="2300"/>
        <w:gridCol w:w="2000"/>
      </w:tblGrid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7377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Cost Variable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7377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7377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Driver  →  Opportunity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7377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Telemetry  (metric / source)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7377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Tooling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4"/>
                <w:szCs w:val="14"/>
              </w:rPr>
              <w:t xml:space="preserve">Cluster Idle Capacity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K8s nodes provisioned and billing with no pods scheduled — common in dedicated AI training clusters.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Cluster stays live overnight after training completes; full node cost continues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Scale-to-zero on schedule; spot node groups with fast provisioning; bin-pack remaining workloads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kube_node_status_allocatable vs pod resource requests (gap = idle)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Node billing events from cloud provider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GPU idle time: dcgm_gpu_utilization &lt; 5% for &gt; 10min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Karpenter (node autoprovisioner + scale-to-zero)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Cluster Autoscaler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run:ai Cluster Management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Spot.io Ocean for K8s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4"/>
                <w:szCs w:val="14"/>
              </w:rPr>
              <w:t xml:space="preserve">Over-requested Pod Resources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CPU/memory requests set higher than actual usage — scheduler holds capacity that's never consumed.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Developers set requests 2–5× actual use 'to be safe'; GPU nodes under-packed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VPA (Vertical Pod Autoscaler) recommendations; right-sizing reports per namespace/team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kube_pod_container_resource_requests vs container_cpu_usage_seconds_total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VPA recommendation logs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Namespace-level efficiency ratio (usage ÷ request)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VPA (Vertical Pod Autoscaler)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Goldilocks (VPA recommendation UI)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Kubecost (right-sizing recommendations)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CAST AI (autonomous right-sizing)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4"/>
                <w:szCs w:val="14"/>
              </w:rPr>
              <w:t xml:space="preserve">GPU Scheduling Fragmentation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GPU fragmentation — small requests spread across nodes leaving no node with enough free GPUs for large jobs.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A 4-GPU job waits while 4 GPUs exist spread across 4 nodes — scheduler can't gang-allocate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Gang scheduling; bin-packing scheduler policy; GPU defragmentation daemon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Pending pod duration (kube_pod_status_phase + scheduler events)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Nodes with 1–3 free GPUs that could consolidate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Job queue wait time from training scheduler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KAI Scheduler (gang scheduling + bin-packing)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Volcano (batch scheduling for K8s)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run:ai (GPU-aware scheduler + queue management)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4"/>
                <w:szCs w:val="14"/>
              </w:rPr>
              <w:t xml:space="preserve">Container Image Pull Latency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Time and bandwidth to pull large AI containers on cold start — delays job start, wastes GPU idle billing.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50GB+ images pulled from remote registry add 10–30min of GPU-billed idle time per cold start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Pre-warm images on node groups; local registry mirror; lazy pull (eStargz)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Container pull duration (kubelet container_pull_duration_seconds)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GPU billed idle: pod scheduled → container ready gap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Registry egress cost per image per pull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Harbor (local registry mirror + pre-warming)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Stargz Snapshotter (lazy pull)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AWS ECR Pull-Through Cache / GCP Artifact Registry regional replication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4"/>
                <w:szCs w:val="14"/>
              </w:rPr>
              <w:t xml:space="preserve">Observability Self-Cost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Cost of the monitoring infrastructure itself — metric cardinality, log volume, trace storage.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High-cardinality Prometheus (per-pod labels) causes metric explosion; log-everything = TBs/day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Cardinality cap; head-based sampling for non-error traces; tiered log retention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Prometheus TSDB series count + ingestion rate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Log ingestion volume (GB/day) by namespace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Trace storage cost vs query frequency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Thanos / Mimir (long-term Prometheus with downsampling)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VictoriaMetrics (high-cardinality efficient)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Grafana Cloud (usage-based pricing)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Datadog Log Rehydration (tiered)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4"/>
                <w:szCs w:val="14"/>
              </w:rPr>
              <w:t xml:space="preserve">Namespace / Tenant Policy Overhead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CPU and latency overhead of admission webhooks, network policies and OPA/Kyverno enforcement.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Kyverno policy evaluation adds latency on every pod admission; network policies add CPU at scale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Profile webhook latency; batch checks; offload network policy to eBPF or DPU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apiserver_admission_webhook_duration_seconds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Kyverno policy evaluation time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Per-namespace resource quota vs actual usage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Kyverno (K8s-native policy engine)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Cilium (eBPF network policy, near-zero CPU)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BlueField DPU (network policy offload)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Styra DAS (OPA management)</w:t>
            </w:r>
          </w:p>
        </w:tc>
      </w:tr>
    </w:tbl>
    <w:p>
      <w:pPr>
        <w:spacing w:after="0" w:before="1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Borders>
              <w:top w:val="single" w:color="CCCCCC" w:sz="4"/>
              <w:left w:val="single" w:color="C97B00" w:sz="20"/>
              <w:bottom w:val="single" w:color="CCCCCC" w:sz="4"/>
              <w:right w:val="single" w:color="CCCCCC" w:sz="4"/>
            </w:tcBorders>
            <w:shd w:fill="C97B00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 5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Model Operations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5"/>
                <w:szCs w:val="15"/>
              </w:rPr>
              <w:t xml:space="preserve">—  Training FLOPs · Fine-tuning · Serving efficiency · Version bloat · Quantisation · Sweeps</w:t>
            </w:r>
          </w:p>
        </w:tc>
      </w:tr>
    </w:tbl>
    <w:p>
      <w:pPr>
        <w:spacing w:after="0" w:before="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400"/>
        <w:gridCol w:w="2300"/>
        <w:gridCol w:w="2000"/>
      </w:tblGrid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7B00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Cost Variable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7B00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7B00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Driver  →  Opportunity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7B00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Telemetry  (metric / source)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7B00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Tooling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4"/>
                <w:szCs w:val="14"/>
              </w:rPr>
              <w:t xml:space="preserve">Training Compute (FLOPs)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Total FLOPs for a training run — proportional to model size × dataset size × steps.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Runs that diverge or misconfigure waste 100% of compute; no early stopping detection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Compute-optimal scaling (Chinchilla); early stopping on plateau; kill budget per run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Training loss curve (W&amp;B/MLflow)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MFU = actual FLOP/s ÷ theoretical peak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Step time + throughput (tokens/sec)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Weights &amp; Biases / MLflow (experiment tracking)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Determined.ai (training platform with kill rules)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Weights &amp; Biases Launch (compute budgets)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4"/>
                <w:szCs w:val="14"/>
              </w:rPr>
              <w:t xml:space="preserve">Fine-tuning Cost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Cost of adapting a pre-trained model — full fine-tune vs parameter-efficient (LoRA/QLoRA).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Full fine-tune of 70B costs $50–200K; teams run multiple exploratory runs without cost guard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Default to LoRA/QLoRA (1–5% cost of full fine-tune); cost-per-run tracking; per-job kill budget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GPU-hours per fine-tune run with cost attribution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LoRA rank and alpha config from experiment metadata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Loss convergence speed (steps to target perplexity)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Hugging Face PEFT (LoRA/QLoRA)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LLaMA-Factory (fine-tuning framework with efficiency metrics)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Together AI / Modal (cost-transparent fine-tuning)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NeMo (enterprise fine-tuning)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4"/>
                <w:szCs w:val="14"/>
              </w:rPr>
              <w:t xml:space="preserve">Inference Serving Efficiency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Tokens per second per GPU dollar — the primary unit-economics metric for production inference.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Single-request batching on a GPU built for 256-token batches → &lt; 5% GPU utilisation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Continuous batching (vLLM); speculative decoding; disaggregated prefill/decode (Dynamo)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Tokens generated/sec per GPU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Batch size distribution histogram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TTFT p50/p95 (prefill cost)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TPOT (decode cost)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vLLM (continuous batching, prefix caching)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SGLang (RadixAttention)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TGI — Text Generation Inference (HuggingFace)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Dynamo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NIM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4"/>
                <w:szCs w:val="14"/>
              </w:rPr>
              <w:t xml:space="preserve">Model Version Proliferation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Accumulation of base, fine-tuned, quantised, shadow, A/B model copies with no lifecycle governance.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Unused model versions hold GPU memory in warm pools and consume storage indefinitely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Auto-expire non-production versions after N days; traffic-based model retirement policy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Model registry version count + last-accessed 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GPU memory reserved per warm model version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Inference traffic % per model version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MLflow Model Registry (versioning + retirement)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BentoML (model serving lifecycle)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Weights &amp; Biases Registry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NGC Private Registry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4"/>
                <w:szCs w:val="14"/>
              </w:rPr>
              <w:t xml:space="preserve">Quantisation Efficiency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Trade-off between model precision (FP32/FP16/INT8/INT4) and cost, memory, and quality.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Running FP32 where INT8 meets quality SLA → 2–4× GPU memory and cost waste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Benchmark quality at each precision level; recommend lowest precision meeting quality threshold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Inference quality eval score per quantisation config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GPU memory per model per precision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Throughput (tokens/sec) per precision format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bitsandbytes (INT8/INT4 quantisation)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AutoGPTQ / llama.cpp (GGUF quantisation)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TensorRT-LLM (INT8/FP8 optimisation)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4"/>
                <w:szCs w:val="14"/>
              </w:rPr>
              <w:t xml:space="preserve">Hyperparameter Sweep Cost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GPU cost of running many trials in a hyperparameter optimisation sweep.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Uncontrolled sweeps spawn hundreds of GPU jobs; no budget cap per sweep; results stored forever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Budget limit per trial; async successive halving (Hyperband/ASHA); delete failed-trial artifacts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Sweep job count + GPU cost per trial (experiment tracker API)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Artifact storage volume per sweep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Trial early-termination rate (efficiency of pruning)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Optuna (Hyperband/ASHA pruning)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Ray Tune (distributed sweep + early stopping)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Weights &amp; Biases Sweeps (budget limits + pruning)</w:t>
            </w:r>
          </w:p>
        </w:tc>
      </w:tr>
    </w:tbl>
    <w:p>
      <w:pPr>
        <w:spacing w:after="0" w:before="1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Borders>
              <w:top w:val="single" w:color="CCCCCC" w:sz="4"/>
              <w:left w:val="single" w:color="1A6B3C" w:sz="20"/>
              <w:bottom w:val="single" w:color="CCCCCC" w:sz="4"/>
              <w:right w:val="single" w:color="CCCCCC" w:sz="4"/>
            </w:tcBorders>
            <w:shd w:fill="1A6B3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 6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Token &amp; API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5"/>
                <w:szCs w:val="15"/>
              </w:rPr>
              <w:t xml:space="preserve">—  Prompt · Completion · Context bloat · Embeddings · Agent loops · Routing · Rate limits</w:t>
            </w:r>
          </w:p>
        </w:tc>
      </w:tr>
    </w:tbl>
    <w:p>
      <w:pPr>
        <w:spacing w:after="0" w:before="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400"/>
        <w:gridCol w:w="2300"/>
        <w:gridCol w:w="2000"/>
      </w:tblGrid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Cost Variable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Driver  →  Opportunity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Telemetry  (metric / source)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Tooling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4"/>
                <w:szCs w:val="14"/>
              </w:rPr>
              <w:t xml:space="preserve">Prompt Token Cost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Cost of input tokens — system prompt + user message + injected context.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Verbose system prompts repeated every call; full documents injected when a paragraph suffices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Prompt compression (LLMLingua); system prompt caching; RAG to inject only relevant chunks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usage.prompt_tokens per API call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System prompt token length per endpoint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Prompt % of total tokens per request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LLMLingua / LongLLMLingua (prompt compression)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LiteLLM (multi-provider gateway with cost tracking)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Portkey.ai (prompt management + cost analytics)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LangSmith (prompt versioning + cost tracking)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4"/>
                <w:szCs w:val="14"/>
              </w:rPr>
              <w:t xml:space="preserve">Completion Token Cost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Cost of output tokens — proportional to response length and generation config.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max_tokens set too high; no stop sequences; verbose responses on simple queries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Set max_tokens per use case; add stop sequences; use smaller model for short-answer tasks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usage.completion_tokens per API call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max_tokens config vs actual completion length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Completion length distribution per endpoint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LiteLLM (completion token tracking)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LMQL (constrained generation — limits output tokens structurally)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Portkey.ai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Helicone (request analytics)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4"/>
                <w:szCs w:val="14"/>
              </w:rPr>
              <w:t xml:space="preserve">Context Window Bloat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Sending unnecessarily large context — full conversation history or unfiltered RAG chunks.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Full conversation appended every agent turn; retrieved chunks not filtered by relevance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Context truncation (last N turns); relevance threshold for RAG; summarise rather than append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total_tokens per request (context window fill rate)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Retrieved chunk count and size per RAG query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Relevance score distribution for retrieved chunks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LangChain ConversationSummaryMemory (auto-summarise history)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Semantic Kernel (context management)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LangSmith (context window utilisation analytics)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Cohere Rerank (relevance filtering before context injection)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4"/>
                <w:szCs w:val="14"/>
              </w:rPr>
              <w:t xml:space="preserve">Embedding Call Cost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Token cost of converting text to vectors — billed per token by provider or GPU-second self-hosted.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Same documents re-embedded every pipeline run; no content-hash cache check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Cache embeddings by hash; incremental embed (changed chunks only); self-host for high volume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Embedding API call count + token volume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Cache hit rate on embedding cache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Re-embedding rate for unchanged documents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sentence-transformers (self-hosted embedding models)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Redis (semantic cache layer)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OpenAI Embeddings + Batch API (cost-efficient batch embedding)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Cohere Embed v3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4"/>
                <w:szCs w:val="14"/>
              </w:rPr>
              <w:t xml:space="preserve">Agent Loop Token Waste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In agentic pipelines, runaway agents or excessive reasoning steps cause exponential token cost.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Agent retries failed tools repeatedly; over-planner generates long CoT for simple tasks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Max iteration limit; cost budget per session; tool call success rate monitoring; fast path for simple tasks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Token count per agent session (sum of all LLM calls)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Tool call count + success/failure rate per session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Agent session duration + step count distribution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LangGraph (agent orchestration with iteration limits)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CrewAI (multi-agent with token budgets)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LangSmith (agent trace + cost analytics)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Portkey.ai (agent cost guardrails)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4"/>
                <w:szCs w:val="14"/>
              </w:rPr>
              <w:t xml:space="preserve">Multi-model Routing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Routing every request to a frontier model when a smaller, cheaper model would suffice.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GPT-4o called for queries GPT-4o-mini handles at 20× lower cost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Query complexity classifier routes simple queries to cheaper model; fallback on failure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Cost per model per request type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Response quality score per model per query type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Routing decision log (which model served each request)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LiteLLM Router (model routing + fallback)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RouteLLM (open-source routing by query complexity)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Martian (intelligent model router)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Portkey.ai (routing + A/B testing)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4"/>
                <w:szCs w:val="14"/>
              </w:rPr>
              <w:t xml:space="preserve">Rate Limit Retry Waste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Wasted tokens from LLM API rate limits triggering full prompt retransmission.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5% retry rate = 5% token cost increase at zero value; amplified at scale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Token bucket rate limiter in client; request queue; pre-flight token budget check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HTTP 429 rate per API key + model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Retry count per request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Wasted spend = (retries-1) × prompt_tokens × input_cost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LiteLLM (built-in retry logic + rate limit handling)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Tenacity (Python retry library with exponential backoff)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Kong AI Gateway (rate limiting + quota management)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Azure APIM (LLM token rate limiting)</w:t>
            </w:r>
          </w:p>
        </w:tc>
      </w:tr>
    </w:tbl>
    <w:p>
      <w:pPr>
        <w:spacing w:after="0" w:before="1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Borders>
              <w:top w:val="single" w:color="CCCCCC" w:sz="4"/>
              <w:left w:val="single" w:color="0F2D5C" w:sz="20"/>
              <w:bottom w:val="single" w:color="CCCCCC" w:sz="4"/>
              <w:right w:val="single" w:color="CCCCCC" w:sz="4"/>
            </w:tcBorders>
            <w:shd w:fill="0F2D5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 7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Application Layer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5"/>
                <w:szCs w:val="15"/>
              </w:rPr>
              <w:t xml:space="preserve">—  RAG pipelines · DB query stalls · API latency · Guardrails · Evals · Warm pools · Shadow models</w:t>
            </w:r>
          </w:p>
        </w:tc>
      </w:tr>
    </w:tbl>
    <w:p>
      <w:pPr>
        <w:spacing w:after="0" w:before="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400"/>
        <w:gridCol w:w="2300"/>
        <w:gridCol w:w="2000"/>
      </w:tblGrid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D5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Cost Variable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D5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D5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Driver  →  Opportunity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D5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Telemetry  (metric / source)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D5C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Tooling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4"/>
                <w:szCs w:val="14"/>
              </w:rPr>
              <w:t xml:space="preserve">RAG Pipeline Cost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End-to-end cost of a RAG query — embedding + vector search + context injection + generation.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Expensive embed + large retrieval context + frontier model for every query; no result caching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Semantic cache for repeated queries; reduce chunk count; downgrade embed/generation model for simple queries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Per-query RAG cost = embed + retrieval + generation (OTel trace)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Semantic cache hit rate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Chunk count + total token size per query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LangChain / LlamaIndex (RAG framework with OTel instrumentation)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GPTCache (semantic cache)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LangSmith (per-query RAG cost tracing)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Pinecone + Cohere Rerank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4"/>
                <w:szCs w:val="14"/>
              </w:rPr>
              <w:t xml:space="preserve">Slow DB Query → GPU Stall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Poor DB execution plans increase API latency, keeping GPU inference workers blocked longer per request.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2s DB query on inference API = GPU provisioned + waiting 2s/request; at 1000 RPS = 2000 GPU-secs wasted/sec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Fix query (index/rewrite) → measure GPU idle reduction → convert to $/day saved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pg_stat_statements / MySQL performance_schema (slow query log)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Trace span: DB duration vs total request duration (OTel)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Estimated GPU waste: DB_wait × RPS × GPU_cost_rate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pgBadger / pt-query-digest (slow query analysis)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OpenTelemetry (DB span instrumentation)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Datadog APM (DB query → cost correlation)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SolarWinds DPA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4"/>
                <w:szCs w:val="14"/>
              </w:rPr>
              <w:t xml:space="preserve">API Latency → Cost Amplifier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High-latency internal services that block GPU workers — auth, context fetch, middleware.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500ms auth middleware = GPU earns revenue for only 500ms of each 1000ms billing second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Cache auth tokens; async context fetch; target top-5 latency contributors by span × RPS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Distributed trace span duration per service (Jaeger/Tempo)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p95/p99 latency per internal API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GPU active fraction: generation_time ÷ total_request_time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OpenTelemetry + Jaeger / Tempo (distributed tracing)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Grafana (latency → cost dashboard)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Datadog APM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Honeycomb (trace-driven cost analysis)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4"/>
                <w:szCs w:val="14"/>
              </w:rPr>
              <w:t xml:space="preserve">Guardrail Processing Cost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Cost of running safety classifiers and compliance checks on every LLM input and output.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Full-model guardrail (Llama Guard) per request doubles inference cost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Fast lightweight classifier first; escalate to heavy guardrail only on ambiguous cases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Guardrail inference latency + token cost per request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Fast vs heavy guardrail routing ratio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Guardrail cost as % of total request cost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NeMo Guardrails (configurable guardrail layers)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LlamaGuard (fast safety classifier)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Azure AI Content Safety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Aporia (LLM guardrails + cost tracking)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4"/>
                <w:szCs w:val="14"/>
              </w:rPr>
              <w:t xml:space="preserve">Inference Warm Pool Cost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Cost of keeping model replicas always-on and ready to avoid cold-start latency.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Warm pool sized for peak traffic 24/7; traffic drops 80% overnight but full pool maintained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Time-of-day autoscaling (KEDA); predictive scaling from traffic forecast curve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Request rate time series per endpoint (req/min by hour of day)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Warm replica count vs actual concurrency served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Cold start latency vs warm serving latency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KEDA (event-driven autoscaler with cron + Prometheus triggers)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Knative Serving (scale-to-zero with configurable min replicas)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NVIDIA Dynamo (disaggregated serving with dynamic pooling)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4"/>
                <w:szCs w:val="14"/>
              </w:rPr>
              <w:t xml:space="preserve">Evaluation Pipeline Cost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GPU + token cost of running automated model evals, benchmarks, and quality regression tests.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Full benchmark suite on every checkpoint; frontier LLM-as-judge for all outputs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Tiered evals (cheap heuristic → LLM-judge only when ambiguous); eval on representative sample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Eval run frequency + GPU-hours per suite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LLM-as-judge token cost per eval sample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Cost per quality signal (eval cost ÷ meaningful decisions)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9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EleutherAI lm-evaluation-harness (benchmark suite)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Ragas (RAG evaluation framework)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Weights &amp; Biases Evaluations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Braintrust / LangSmith (LLM-as-judge with cost control)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4"/>
                <w:szCs w:val="14"/>
              </w:rPr>
              <w:t xml:space="preserve">Shadow Model Traffic Cost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Cost of running a shadow model in parallel for A/B testing — often over-sampled beyond statistical need.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3"/>
                <w:szCs w:val="13"/>
              </w:rPr>
              <w:t xml:space="preserve">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3"/>
                <w:szCs w:val="13"/>
              </w:rPr>
              <w:t xml:space="preserve">Shadow model receives 100% of production traffic when 5% is sufficient for significance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3"/>
                <w:szCs w:val="13"/>
              </w:rPr>
              <w:t xml:space="preserve">✓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13"/>
                <w:szCs w:val="13"/>
              </w:rPr>
              <w:t xml:space="preserve">Shadow at 5–10% sample; auto-stop experiment when statistical significance reached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Shadow traffic % vs statistical power requirement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Shadow model GPU cost vs production model GPU cost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C"/>
                <w:sz w:val="12"/>
                <w:szCs w:val="12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2"/>
                <w:szCs w:val="12"/>
              </w:rPr>
              <w:t xml:space="preserve">Time to significance per experiment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"/>
              <w:left w:type="dxa" w:w="72"/>
              <w:bottom w:type="dxa" w:w="9"/>
              <w:right w:type="dxa" w:w="72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Iter8 (K8s-native A/B testing with significance detection)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2"/>
                <w:szCs w:val="12"/>
              </w:rPr>
              <w:t xml:space="preserve">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Argo Rollouts (canary + shadow traffic control)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7B00"/>
                <w:sz w:val="12"/>
                <w:szCs w:val="12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2"/>
                <w:szCs w:val="12"/>
              </w:rPr>
              <w:t xml:space="preserve">Split.io / LaunchDarkly (feature flag controlled shadow routing)</w:t>
            </w:r>
          </w:p>
        </w:tc>
      </w:tr>
    </w:tbl>
    <w:p>
      <w:pPr>
        <w:spacing w:after="0" w:before="1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Borders>
              <w:top w:val="single" w:color="CCCCCC" w:sz="4"/>
              <w:left w:val="single" w:color="0D7377" w:sz="16"/>
              <w:bottom w:val="single" w:color="CCCCCC" w:sz="4"/>
              <w:right w:val="single" w:color="CCCCCC" w:sz="4"/>
            </w:tcBorders>
            <w:shd w:fill="E6F4EE" w:val="clear"/>
            <w:tcMar>
              <w:top w:type="dxa" w:w="16"/>
              <w:left w:type="dxa" w:w="120"/>
              <w:bottom w:type="dxa" w:w="16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7"/>
                <w:szCs w:val="17"/>
              </w:rPr>
              <w:t xml:space="preserve">Platform Tooling Principle: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The FinOps AI Platform is not a tooling replacement — it is a cost intelligence layer that ingests signals from every tool listed in the Tooling column above. Open-source tools (◆) form the data collection backbone. Commercial tools (●) accelerate where OSS cannot automate or scale. Our platform translates all these signals into dollar-denominated opportunities ranked by ROI and routed to the right team.</w:t>
            </w:r>
          </w:p>
        </w:tc>
      </w:tr>
    </w:tbl>
    <w:p>
      <w:pPr>
        <w:spacing w:after="0" w:before="1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Borders>
              <w:top w:val="single" w:color="0D7377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4"/>
                <w:szCs w:val="14"/>
              </w:rPr>
              <w:t xml:space="preserve">Legend: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4"/>
                <w:szCs w:val="14"/>
              </w:rPr>
              <w:t xml:space="preserve">◆ = Open Source  ·  ● = Commercial / SaaS  ·  ⚡ = Cost driver (how money is wasted)  ·  ✓ = Optimisation opportunity (how to save)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4"/>
        <w:szCs w:val="14"/>
      </w:rPr>
      <w:t xml:space="preserve">FinOps AI Platform  ·  AI Cost Variables + Tooling Guide  ·  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4"/>
        <w:szCs w:val="14"/>
      </w:rPr>
      <w:t xml:space="preserve"> of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3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800"/>
    </w:tblGrid>
    <w:tr>
      <w:tc>
        <w:tcPr>
          <w:tcBorders>
            <w:top w:val="none" w:color="FFFFFF" w:sz="0"/>
            <w:left w:val="none" w:color="FFFFFF" w:sz="0"/>
            <w:bottom w:val="single" w:color="0F2D5C" w:sz="6"/>
            <w:right w:val="none" w:color="FFFFFF" w:sz="0"/>
          </w:tcBorders>
          <w:tcMar>
            <w:top w:type="dxa" w:w="0"/>
            <w:left w:type="dxa" w:w="0"/>
            <w:bottom w:type="dxa" w:w="36"/>
            <w:right w:type="dxa" w:w="0"/>
          </w:tcMar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F2D5C"/>
              <w:sz w:val="17"/>
              <w:szCs w:val="17"/>
            </w:rPr>
            <w:t xml:space="preserve">FINOPS AI PLATFORM  </w:t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888888"/>
              <w:sz w:val="15"/>
              <w:szCs w:val="15"/>
            </w:rPr>
            <w:t xml:space="preserve"> |  AI Cost Variables + Tooling Guide</w:t>
          </w:r>
        </w:p>
      </w:tc>
      <w:tc>
        <w:tcPr>
          <w:tcBorders>
            <w:top w:val="none" w:color="FFFFFF" w:sz="0"/>
            <w:left w:val="none" w:color="FFFFFF" w:sz="0"/>
            <w:bottom w:val="single" w:color="0F2D5C" w:sz="6"/>
            <w:right w:val="none" w:color="FFFFFF" w:sz="0"/>
          </w:tcBorders>
          <w:tcMar>
            <w:top w:type="dxa" w:w="0"/>
            <w:left w:type="dxa" w:w="0"/>
            <w:bottom w:type="dxa" w:w="36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888888"/>
              <w:sz w:val="14"/>
              <w:szCs w:val="14"/>
            </w:rPr>
            <w:t xml:space="preserve">CONFIDENTIAL  ·  Product Management  ·  2025–2027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2026-04-28T18:16:54.172Z</dcterms:created>
  <dcterms:modified xsi:type="dcterms:W3CDTF">2026-04-28T18:16:54.173Z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