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AWS CLOUD SECURITY POLICY</w:t>
      </w:r>
    </w:p>
    <w:p>
      <w:pPr>
        <w:spacing w:after="60" w:before="0"/>
        <w:jc w:val="center"/>
      </w:pPr>
      <w:r>
        <w:rPr>
          <w:rFonts w:ascii="Arial" w:cs="Arial" w:eastAsia="Arial" w:hAnsi="Arial"/>
          <w:color w:val="595959"/>
          <w:sz w:val="22"/>
          <w:szCs w:val="22"/>
        </w:rPr>
        <w:t xml:space="preserve">Policy ID: POL-AWS-SEC-001</w:t>
      </w:r>
    </w:p>
    <w:p>
      <w:pPr>
        <w:spacing w:after="480" w:before="0"/>
        <w:jc w:val="center"/>
      </w:pPr>
      <w:r>
        <w:rPr>
          <w:rFonts w:ascii="Arial" w:cs="Arial" w:eastAsia="Arial" w:hAnsi="Arial"/>
          <w:color w:val="595959"/>
          <w:sz w:val="22"/>
          <w:szCs w:val="22"/>
        </w:rPr>
        <w:t xml:space="preserve">Version 3.2  |  Effective Date: January 1, 2025  |  Review Date: December 31,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Security Team (security@acmecorp.com)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Jane Smith, CISO</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Applies 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AWS accounts, workloads, and personnel accessing Acme Corp AWS environments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Related Frameworks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CC6.x, PCI-DSS Req 1-3, 7-8, ISO 27001 A.5-A.8</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 Purpose and Scope</w:t>
      </w:r>
    </w:p>
    <w:p>
      <w:pPr>
        <w:spacing w:after="80" w:before="80"/>
      </w:pPr>
      <w:r>
        <w:rPr>
          <w:rFonts w:ascii="Arial" w:cs="Arial" w:eastAsia="Arial" w:hAnsi="Arial"/>
          <w:sz w:val="22"/>
          <w:szCs w:val="22"/>
        </w:rPr>
        <w:t xml:space="preserve">This policy establishes the mandatory security requirements for all workloads, services, and data hosted in or transiting through Acme Corp Amazon Web Services (AWS) environments. It applies to all employees, contractors, and third-party vendors with access to Acme Corp AWS accounts.</w:t>
      </w:r>
    </w:p>
    <w:p>
      <w:pPr>
        <w:spacing w:after="80" w:before="80"/>
      </w:pPr>
      <w:r>
        <w:rPr>
          <w:rFonts w:ascii="Arial" w:cs="Arial" w:eastAsia="Arial" w:hAnsi="Arial"/>
          <w:sz w:val="22"/>
          <w:szCs w:val="22"/>
        </w:rPr>
        <w:t xml:space="preserve">Non-compliance with this policy may result in disciplinary action up to and including termination. Security exceptions must be formally approved by the CISO and documented in the GRC platform.</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Identity and Access Management</w:t>
      </w:r>
    </w:p>
    <w:p>
      <w:pPr>
        <w:pStyle w:val="Heading2"/>
        <w:spacing w:after="80" w:before="240"/>
      </w:pPr>
      <w:r>
        <w:rPr>
          <w:rFonts w:ascii="Arial" w:cs="Arial" w:eastAsia="Arial" w:hAnsi="Arial"/>
          <w:b/>
          <w:bCs/>
          <w:color w:val="2E75B6"/>
          <w:sz w:val="26"/>
          <w:szCs w:val="26"/>
        </w:rPr>
        <w:t xml:space="preserve">2.1 Mandatory MFA</w:t>
      </w:r>
    </w:p>
    <w:p>
      <w:pPr>
        <w:spacing w:after="80" w:before="80"/>
      </w:pPr>
      <w:r>
        <w:rPr>
          <w:rFonts w:ascii="Arial" w:cs="Arial" w:eastAsia="Arial" w:hAnsi="Arial"/>
          <w:sz w:val="22"/>
          <w:szCs w:val="22"/>
        </w:rPr>
        <w:t xml:space="preserve">Multi-factor authentication (MFA) is required for all human IAM identities. Enforcement is applied via Service Control Policy (SCP) at the Organization level. Hardware MFA tokens are required for all privileged roles (Administrator, PowerUser, SecurityAudit).</w:t>
      </w:r>
    </w:p>
    <w:p>
      <w:pPr>
        <w:pStyle w:val="Heading2"/>
        <w:spacing w:after="80" w:before="240"/>
      </w:pPr>
      <w:r>
        <w:rPr>
          <w:rFonts w:ascii="Arial" w:cs="Arial" w:eastAsia="Arial" w:hAnsi="Arial"/>
          <w:b/>
          <w:bCs/>
          <w:color w:val="2E75B6"/>
          <w:sz w:val="26"/>
          <w:szCs w:val="26"/>
        </w:rPr>
        <w:t xml:space="preserve">2.2 Least Privilege</w:t>
      </w:r>
    </w:p>
    <w:p>
      <w:pPr>
        <w:spacing w:after="80" w:before="80"/>
      </w:pPr>
      <w:r>
        <w:rPr>
          <w:rFonts w:ascii="Arial" w:cs="Arial" w:eastAsia="Arial" w:hAnsi="Arial"/>
          <w:sz w:val="22"/>
          <w:szCs w:val="22"/>
        </w:rPr>
        <w:t xml:space="preserve">All IAM policies must follow least-privilege principles. Wildcard (*) actions in IAM policies require CISO approval and must be accompanied by a compensating control documented in the exception register. Policies are reviewed quarterly using IAM Access Analyzer.</w:t>
      </w:r>
    </w:p>
    <w:p>
      <w:pPr>
        <w:pStyle w:val="Heading2"/>
        <w:spacing w:after="80" w:before="240"/>
      </w:pPr>
      <w:r>
        <w:rPr>
          <w:rFonts w:ascii="Arial" w:cs="Arial" w:eastAsia="Arial" w:hAnsi="Arial"/>
          <w:b/>
          <w:bCs/>
          <w:color w:val="2E75B6"/>
          <w:sz w:val="26"/>
          <w:szCs w:val="26"/>
        </w:rPr>
        <w:t xml:space="preserve">2.3 Privileged Access Management</w:t>
      </w:r>
    </w:p>
    <w:p>
      <w:pPr>
        <w:spacing w:after="80" w:before="80"/>
      </w:pPr>
      <w:r>
        <w:rPr>
          <w:rFonts w:ascii="Arial" w:cs="Arial" w:eastAsia="Arial" w:hAnsi="Arial"/>
          <w:sz w:val="22"/>
          <w:szCs w:val="22"/>
        </w:rPr>
        <w:t xml:space="preserve">Access to production AWS accounts is managed through AWS IAM Identity Center (SSO) with session durations limited to 4 hours for privileged roles. All privileged access sessions are logged to the centralized SIEM.</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Network Security</w:t>
      </w:r>
    </w:p>
    <w:p>
      <w:pPr>
        <w:pStyle w:val="Heading2"/>
        <w:spacing w:after="80" w:before="240"/>
      </w:pPr>
      <w:r>
        <w:rPr>
          <w:rFonts w:ascii="Arial" w:cs="Arial" w:eastAsia="Arial" w:hAnsi="Arial"/>
          <w:b/>
          <w:bCs/>
          <w:color w:val="2E75B6"/>
          <w:sz w:val="26"/>
          <w:szCs w:val="26"/>
        </w:rPr>
        <w:t xml:space="preserve">3.1 VPC Architecture</w:t>
      </w:r>
    </w:p>
    <w:p>
      <w:pPr>
        <w:spacing w:after="80" w:before="80"/>
      </w:pPr>
      <w:r>
        <w:rPr>
          <w:rFonts w:ascii="Arial" w:cs="Arial" w:eastAsia="Arial" w:hAnsi="Arial"/>
          <w:sz w:val="22"/>
          <w:szCs w:val="22"/>
        </w:rPr>
        <w:t xml:space="preserve">All production workloads must be deployed within a VPC with the following architecture:</w:t>
      </w:r>
    </w:p>
    <w:p>
      <w:pPr>
        <w:pStyle w:val="ListParagraph"/>
        <w:numPr>
          <w:ilvl w:val="0"/>
          <w:numId w:val="2"/>
        </w:numPr>
        <w:spacing w:after="40" w:before="40"/>
      </w:pPr>
      <w:r>
        <w:rPr>
          <w:rFonts w:ascii="Arial" w:cs="Arial" w:eastAsia="Arial" w:hAnsi="Arial"/>
          <w:sz w:val="22"/>
          <w:szCs w:val="22"/>
        </w:rPr>
        <w:t xml:space="preserve">Public subnets: Load balancers and NAT Gateways only. No compute instances.</w:t>
      </w:r>
    </w:p>
    <w:p>
      <w:pPr>
        <w:pStyle w:val="ListParagraph"/>
        <w:numPr>
          <w:ilvl w:val="0"/>
          <w:numId w:val="2"/>
        </w:numPr>
        <w:spacing w:after="40" w:before="40"/>
      </w:pPr>
      <w:r>
        <w:rPr>
          <w:rFonts w:ascii="Arial" w:cs="Arial" w:eastAsia="Arial" w:hAnsi="Arial"/>
          <w:sz w:val="22"/>
          <w:szCs w:val="22"/>
        </w:rPr>
        <w:t xml:space="preserve">Private application subnets: Application tier compute (EC2, ECS, Lambda within VPC).</w:t>
      </w:r>
    </w:p>
    <w:p>
      <w:pPr>
        <w:pStyle w:val="ListParagraph"/>
        <w:numPr>
          <w:ilvl w:val="0"/>
          <w:numId w:val="2"/>
        </w:numPr>
        <w:spacing w:after="40" w:before="40"/>
      </w:pPr>
      <w:r>
        <w:rPr>
          <w:rFonts w:ascii="Arial" w:cs="Arial" w:eastAsia="Arial" w:hAnsi="Arial"/>
          <w:sz w:val="22"/>
          <w:szCs w:val="22"/>
        </w:rPr>
        <w:t xml:space="preserve">Private data subnets: Database tier (RDS, ElastiCache). No direct internet route.</w:t>
      </w:r>
    </w:p>
    <w:p>
      <w:pPr>
        <w:pStyle w:val="ListParagraph"/>
        <w:numPr>
          <w:ilvl w:val="0"/>
          <w:numId w:val="2"/>
        </w:numPr>
        <w:spacing w:after="40" w:before="40"/>
      </w:pPr>
      <w:r>
        <w:rPr>
          <w:rFonts w:ascii="Arial" w:cs="Arial" w:eastAsia="Arial" w:hAnsi="Arial"/>
          <w:sz w:val="22"/>
          <w:szCs w:val="22"/>
        </w:rPr>
        <w:t xml:space="preserve">VPC Flow Logs enabled for ALL VPCs and delivered to centralized log archive.</w:t>
      </w:r>
    </w:p>
    <w:p>
      <w:pPr>
        <w:pStyle w:val="Heading2"/>
        <w:spacing w:after="80" w:before="240"/>
      </w:pPr>
      <w:r>
        <w:rPr>
          <w:rFonts w:ascii="Arial" w:cs="Arial" w:eastAsia="Arial" w:hAnsi="Arial"/>
          <w:b/>
          <w:bCs/>
          <w:color w:val="2E75B6"/>
          <w:sz w:val="26"/>
          <w:szCs w:val="26"/>
        </w:rPr>
        <w:t xml:space="preserve">3.2 Security Groups</w:t>
      </w:r>
    </w:p>
    <w:p>
      <w:pPr>
        <w:spacing w:after="80" w:before="80"/>
      </w:pPr>
      <w:r>
        <w:rPr>
          <w:rFonts w:ascii="Arial" w:cs="Arial" w:eastAsia="Arial" w:hAnsi="Arial"/>
          <w:sz w:val="22"/>
          <w:szCs w:val="22"/>
        </w:rPr>
        <w:t xml:space="preserve">Security groups must deny all inbound traffic by default. Rules must specify the minimum required ports and source IP ranges. Security groups with 0.0.0.0/0 inbound rules on ports other than 80/443 are prohibited and automatically flagged by AWS Config rule RESTRICTED-COMMON-PORTS.</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4. Data Protection</w:t>
      </w:r>
    </w:p>
    <w:p>
      <w:pPr>
        <w:pStyle w:val="Heading2"/>
        <w:spacing w:after="80" w:before="240"/>
      </w:pPr>
      <w:r>
        <w:rPr>
          <w:rFonts w:ascii="Arial" w:cs="Arial" w:eastAsia="Arial" w:hAnsi="Arial"/>
          <w:b/>
          <w:bCs/>
          <w:color w:val="2E75B6"/>
          <w:sz w:val="26"/>
          <w:szCs w:val="26"/>
        </w:rPr>
        <w:t xml:space="preserve">4.1 Encryption at Rest</w:t>
      </w:r>
    </w:p>
    <w:p>
      <w:pPr>
        <w:spacing w:after="80" w:before="80"/>
      </w:pPr>
      <w:r>
        <w:rPr>
          <w:rFonts w:ascii="Arial" w:cs="Arial" w:eastAsia="Arial" w:hAnsi="Arial"/>
          <w:sz w:val="22"/>
          <w:szCs w:val="22"/>
        </w:rPr>
        <w:t xml:space="preserve">All data at rest must be encrypted. S3 default encryption (SSE-KMS with CMK) must be enabled on all buckets. RDS, EBS, and EFS encryption using KMS CMKs is mandatory. Unencrypted resources are automatically detected by AWS Config and remediated within 24 hours.</w:t>
      </w:r>
    </w:p>
    <w:p>
      <w:pPr>
        <w:pStyle w:val="Heading2"/>
        <w:spacing w:after="80" w:before="240"/>
      </w:pPr>
      <w:r>
        <w:rPr>
          <w:rFonts w:ascii="Arial" w:cs="Arial" w:eastAsia="Arial" w:hAnsi="Arial"/>
          <w:b/>
          <w:bCs/>
          <w:color w:val="2E75B6"/>
          <w:sz w:val="26"/>
          <w:szCs w:val="26"/>
        </w:rPr>
        <w:t xml:space="preserve">4.2 Encryption in Transit</w:t>
      </w:r>
    </w:p>
    <w:p>
      <w:pPr>
        <w:spacing w:after="80" w:before="80"/>
      </w:pPr>
      <w:r>
        <w:rPr>
          <w:rFonts w:ascii="Arial" w:cs="Arial" w:eastAsia="Arial" w:hAnsi="Arial"/>
          <w:sz w:val="22"/>
          <w:szCs w:val="22"/>
        </w:rPr>
        <w:t xml:space="preserve">All data in transit must use TLS 1.2 or higher. TLS 1.0 and 1.1 are prohibited. ALB listener policies must use ELBSecurityPolicy-TLS13-1-2-2021-06 or equivalent. Certificate management is via AWS Certificate Manager (ACM); self-signed certificates are prohibited in production.</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5. Logging, Monitoring and Alerting</w:t>
      </w:r>
    </w:p>
    <w:p>
      <w:pPr>
        <w:spacing w:after="80" w:before="80"/>
      </w:pPr>
      <w:r>
        <w:rPr>
          <w:rFonts w:ascii="Arial" w:cs="Arial" w:eastAsia="Arial" w:hAnsi="Arial"/>
          <w:sz w:val="22"/>
          <w:szCs w:val="22"/>
        </w:rPr>
        <w:t xml:space="preserve">The following services must be enabled in all in-scope AWS accounts and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Service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Retention Period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Alert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(Org Trail)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 (S3 Object 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SIEM forwarding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GuardDuty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in GuardDuty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High/Critical: PagerDuty 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Security 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15-min SLA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NON-COMPLIANT: ticket auto-created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 Flow 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days in CloudWatch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SIEM rule-based</w:t>
            </w:r>
          </w:p>
        </w:tc>
      </w:tr>
    </w:tbl>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6. Vulnerability and Patch Management</w:t>
      </w:r>
    </w:p>
    <w:p>
      <w:pPr>
        <w:spacing w:after="80" w:before="80"/>
      </w:pPr>
      <w:r>
        <w:rPr>
          <w:rFonts w:ascii="Arial" w:cs="Arial" w:eastAsia="Arial" w:hAnsi="Arial"/>
          <w:sz w:val="22"/>
          <w:szCs w:val="22"/>
        </w:rPr>
        <w:t xml:space="preserve">Amazon Inspector must be enabled on all EC2, ECR, and Lambda resources. Remediation SLAs:</w:t>
      </w:r>
    </w:p>
    <w:p>
      <w:pPr>
        <w:pStyle w:val="ListParagraph"/>
        <w:numPr>
          <w:ilvl w:val="0"/>
          <w:numId w:val="2"/>
        </w:numPr>
        <w:spacing w:after="40" w:before="40"/>
      </w:pPr>
      <w:r>
        <w:rPr>
          <w:rFonts w:ascii="Arial" w:cs="Arial" w:eastAsia="Arial" w:hAnsi="Arial"/>
          <w:sz w:val="22"/>
          <w:szCs w:val="22"/>
        </w:rPr>
        <w:t xml:space="preserve">Critical (CVSS ≥ 9.0): 72 hours</w:t>
      </w:r>
    </w:p>
    <w:p>
      <w:pPr>
        <w:pStyle w:val="ListParagraph"/>
        <w:numPr>
          <w:ilvl w:val="0"/>
          <w:numId w:val="2"/>
        </w:numPr>
        <w:spacing w:after="40" w:before="40"/>
      </w:pPr>
      <w:r>
        <w:rPr>
          <w:rFonts w:ascii="Arial" w:cs="Arial" w:eastAsia="Arial" w:hAnsi="Arial"/>
          <w:sz w:val="22"/>
          <w:szCs w:val="22"/>
        </w:rPr>
        <w:t xml:space="preserve">High (CVSS 7.0–8.9): 14 days</w:t>
      </w:r>
    </w:p>
    <w:p>
      <w:pPr>
        <w:pStyle w:val="ListParagraph"/>
        <w:numPr>
          <w:ilvl w:val="0"/>
          <w:numId w:val="2"/>
        </w:numPr>
        <w:spacing w:after="40" w:before="40"/>
      </w:pPr>
      <w:r>
        <w:rPr>
          <w:rFonts w:ascii="Arial" w:cs="Arial" w:eastAsia="Arial" w:hAnsi="Arial"/>
          <w:sz w:val="22"/>
          <w:szCs w:val="22"/>
        </w:rPr>
        <w:t xml:space="preserve">Medium (CVSS 4.0–6.9): 30 days</w:t>
      </w:r>
    </w:p>
    <w:p>
      <w:pPr>
        <w:pStyle w:val="ListParagraph"/>
        <w:numPr>
          <w:ilvl w:val="0"/>
          <w:numId w:val="2"/>
        </w:numPr>
        <w:spacing w:after="40" w:before="40"/>
      </w:pPr>
      <w:r>
        <w:rPr>
          <w:rFonts w:ascii="Arial" w:cs="Arial" w:eastAsia="Arial" w:hAnsi="Arial"/>
          <w:sz w:val="22"/>
          <w:szCs w:val="22"/>
        </w:rPr>
        <w:t xml:space="preserve">Low (CVSS &lt; 4.0): 90 days</w:t>
      </w:r>
    </w:p>
    <w:p>
      <w:pPr>
        <w:spacing w:after="80" w:before="80"/>
      </w:pPr>
      <w:r>
        <w:rPr>
          <w:rFonts w:ascii="Arial" w:cs="Arial" w:eastAsia="Arial" w:hAnsi="Arial"/>
          <w:sz w:val="22"/>
          <w:szCs w:val="22"/>
        </w:rPr>
        <w:t xml:space="preserve">AMI patching is managed via AWS Systems Manager Patch Manager with maintenance windows every Sunday 02:00–06:00 UTC.</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7. Policy Exceptions</w:t>
      </w:r>
    </w:p>
    <w:p>
      <w:pPr>
        <w:spacing w:after="80" w:before="80"/>
      </w:pPr>
      <w:r>
        <w:rPr>
          <w:rFonts w:ascii="Arial" w:cs="Arial" w:eastAsia="Arial" w:hAnsi="Arial"/>
          <w:sz w:val="22"/>
          <w:szCs w:val="22"/>
        </w:rPr>
        <w:t xml:space="preserve">Exceptions to this policy must be submitted via the GRC platform (ServiceNow module: Compliance Exceptions). All exceptions require: business justification, risk assessment, compensating controls, and CISO approval. Exception duration may not exceed 90 days without re-approval.</w:t>
      </w:r>
    </w:p>
    <w:p>
      <w:pPr>
        <w:spacing w:after="80" w:before="8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1, 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Smith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Inspector SLAs, updated TLS policy for TLS 1.3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 1, 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Smith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MFA requirements, added SSO mandate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1, 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Davis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revision for PCI-DSS 4.0 alignment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1, 2023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Davis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GuardDuty, Security Hub requirements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595959"/>
        <w:sz w:val="16"/>
        <w:szCs w:val="16"/>
      </w:rPr>
      <w:t xml:space="preserve">INTERNAL USE ONLY</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4E79"/>
        <w:sz w:val="18"/>
        <w:szCs w:val="18"/>
      </w:rPr>
      <w:t xml:space="preserve">Acme Corp | AWS Cloud Security Policy</w:t>
    </w:r>
    <w:r>
      <w:rPr>
        <w:rFonts w:ascii="Arial" w:cs="Arial" w:eastAsia="Arial" w:hAnsi="Arial"/>
        <w:color w:val="595959"/>
        <w:sz w:val="18"/>
        <w:szCs w:val="18"/>
      </w:rPr>
      <w:t xml:space="preserve">	Policy ID: POL-AWS-SEC-001  |  Version 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2026-04-15T15:13:20.193Z</dcterms:created>
  <dcterms:modified xsi:type="dcterms:W3CDTF">2026-04-15T15:13:20.193Z</dcterms:modified>
</cp:coreProperties>
</file>

<file path=docProps/custom.xml><?xml version="1.0" encoding="utf-8"?>
<Properties xmlns="http://schemas.openxmlformats.org/officeDocument/2006/custom-properties" xmlns:vt="http://schemas.openxmlformats.org/officeDocument/2006/docPropsVTypes"/>
</file>