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Tiered Recommendations: Syracuse Football 2025</w:t>
      </w:r>
    </w:p>
    <w:p>
      <w:r>
        <w:t>Operational (Low Risk):</w:t>
        <w:br/>
        <w:t>- Targeted coaching for run-blocking and pass protection</w:t>
        <w:br/>
        <w:t>- Emphasize passing drills to leverage new offensive identity</w:t>
        <w:br/>
        <w:t>- Minor adjustments to practice schedules for efficiency</w:t>
        <w:br/>
        <w:t>Investigatory (Medium Risk):</w:t>
        <w:br/>
        <w:t>- Pilot new defensive schemes for short-yardage run situations</w:t>
        <w:br/>
        <w:t>- Collect additional practice telemetry to refine blocking &amp; tackling efficiency</w:t>
        <w:br/>
        <w:t>High-Stakes (High Risk):</w:t>
        <w:br/>
        <w:t>- Consider strategic or personnel changes to improve run defense</w:t>
        <w:br/>
        <w:t>- Only proceed after review by coaching staff and ethical oversight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