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DojoPro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Master Document Index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Complete Startup Documentation Package — v1.0</w:t>
      </w:r>
    </w:p>
    <w:p>
      <w:pPr>
        <w:spacing w:after="240" w:before="0"/>
      </w:pPr>
      <w:p>
        <w:pPr>
          <w:pBdr>
            <w:bottom w:val="single" w:color="C0392B" w:sz="6" w:space="1"/>
          </w:pBdr>
        </w:pPr>
      </w:p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160"/>
        <w:gridCol w:w="2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DojoPro_PRD.docx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Requirements Document — full feature specs, user stories, KPIs, personas, launch strategy, and acceptance criteria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Founder, Developers, Investors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DojoPro_TRD.docx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Requirements Document — stack, architecture, APIs, DB schema, security, AI/ML specs, DevOps pipeline, integrations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Developers, CTO, Technical Investors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DojoPro_UIUX_Brief.docx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UI/UX Design Brief — visual direction, color system, typography, screen-by-screen specs, gamification, accessibility, deliverables 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Designer, Developer, Brand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DojoPro_Project_Workflow.docx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Workflow &amp; Execution Plan — 12-month sprint plan, team structure, tools, QA process, launch checklist, risk register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Founder, Team, Investors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How to Use These Documents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four documents form a complete startup foundation for DojoPro. Use them in this order: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the PRD end-to-end. Validate every persona, feature, and metric against your own knowledge of the Mumbai martial arts market.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+ Dev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the TRD together. Agree on Phase 1 stack (Railway + Supabase + MUX + Flutter). Set up repos and environments in Week 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+ Designer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the designer using the UI/UX Design Brief. Share Section 5 (screen specs) and Section 3 (color system) as starting points.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+ Team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the Project Workflow doc. Set up Linear with Phase 1 sprints. Begin Month 1, Week 1 actions immediately.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PRD + TRD with any investors or technical advisors for credibility. Remove or redact sections as needed.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Key Dates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Registered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PVT LTD registered; domain bought; GitHub + Supabase set 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Prototype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Demo-able Flutter app with profiles + gym map shown to 10 gym owners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Founding Gyms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Mumbai gyms with signed LOI / MOU — supply-side ready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Launch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athletes registered in Mumbai; 10 coaches bookable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Live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+ Android apps approved; first paid subscribers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$10K MRR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10–12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to begin Series A / Angel raise conversations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 MAU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Prerequisite for VC conversations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C0392B" w:sz="4" w:space="1"/>
        </w:pBdr>
        <w:spacing w:after="60" w:before="240"/>
        <w:jc w:val="center"/>
      </w:pPr>
      <w:r>
        <w:rPr>
          <w:rFonts w:ascii="Arial" w:cs="Arial" w:eastAsia="Arial" w:hAnsi="Arial"/>
          <w:b/>
          <w:bCs/>
          <w:i/>
          <w:iCs/>
          <w:color w:val="C0392B"/>
          <w:sz w:val="28"/>
          <w:szCs w:val="28"/>
        </w:rPr>
        <w:t xml:space="preserve">"Train. Verify. Compete. Rise."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DojoPro — Confidential. Do not distribute without founder approval.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2026-06-10T04:10:05.173Z</dcterms:created>
  <dcterms:modified xsi:type="dcterms:W3CDTF">2026-06-10T04:10:05.173Z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