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sz w:val="44"/>
        </w:rPr>
        <w:t>Statistical Core Refinement:</w:t>
        <w:br/>
        <w:t>Robustness and Efficiency of Minimal-Effects Testing</w:t>
      </w:r>
    </w:p>
    <w:p>
      <w:pPr>
        <w:spacing w:before="360"/>
        <w:jc w:val="center"/>
      </w:pPr>
      <w:r>
        <w:rPr>
          <w:b/>
          <w:sz w:val="36"/>
        </w:rPr>
        <w:t>O1 Oct 16 Milestone Team Update</w:t>
      </w:r>
    </w:p>
    <w:p>
      <w:pPr>
        <w:spacing w:after="60"/>
        <w:jc w:val="center"/>
      </w:pPr>
      <w:r>
        <w:rPr>
          <w:sz w:val="22"/>
        </w:rPr>
        <w:t>Industry Partner: Resilient Youth Australia (RYA)</w:t>
      </w:r>
    </w:p>
    <w:p>
      <w:pPr>
        <w:spacing w:after="60"/>
        <w:jc w:val="center"/>
      </w:pPr>
      <w:r>
        <w:rPr>
          <w:sz w:val="22"/>
        </w:rPr>
        <w:t>Group: PG-S2-32</w:t>
      </w:r>
    </w:p>
    <w:p>
      <w:pPr>
        <w:spacing w:after="60"/>
        <w:jc w:val="center"/>
      </w:pPr>
      <w:r>
        <w:rPr>
          <w:sz w:val="22"/>
        </w:rPr>
        <w:t>Prepared by: SIN-WEI SU</w:t>
      </w:r>
    </w:p>
    <w:p>
      <w:pPr>
        <w:spacing w:after="60"/>
        <w:jc w:val="center"/>
      </w:pPr>
      <w:r>
        <w:rPr>
          <w:sz w:val="22"/>
        </w:rPr>
        <w:t>Milestone date: 16 October 2026</w:t>
      </w:r>
    </w:p>
    <w:p>
      <w:pPr>
        <w:spacing w:before="520"/>
        <w:jc w:val="center"/>
      </w:pPr>
      <w:r>
        <w:rPr>
          <w:i/>
          <w:sz w:val="22"/>
        </w:rPr>
        <w:t>Objective 1: Pre-Inference Input Validation and Neural Network Compatibility Screening</w:t>
      </w:r>
    </w:p>
    <w:p>
      <w:r>
        <w:br w:type="page"/>
      </w:r>
    </w:p>
    <w:p>
      <w:pPr>
        <w:pStyle w:val="Heading1"/>
      </w:pPr>
      <w:r>
        <w:t>1. Executive Summary</w:t>
      </w:r>
    </w:p>
    <w:p>
      <w:pPr>
        <w:spacing w:after="120" w:line="259" w:lineRule="auto"/>
      </w:pPr>
      <w:r>
        <w:t>The Oct 16 milestone focused on integrating the Objective 1 compatibility detector in front of the existing RYA Gamma neural network. The integration is now working end-to-end in Python. Raw four-category group counts and an unreliability matrix are validated, converted into the 54 detector features, screened by the Logistic Regression compatibility model, and then routed either to the unchanged RYA ONNX neural network or to a fallback placeholder.</w:t>
      </w:r>
    </w:p>
    <w:p>
      <w:pPr>
        <w:spacing w:after="120" w:line="259" w:lineRule="auto"/>
      </w:pPr>
      <w:r>
        <w:t>The existing RYA neural-network pathway was first reproduced independently using the supplied EXP002 metadata and ONNX model. The integrated safe-route test reproduced the same Gamma output as the standalone RYA model, showing that the new O1 screening layer does not change NN inference for cases that pass screening.</w:t>
      </w:r>
    </w:p>
    <w:p>
      <w:pPr>
        <w:spacing w:after="120" w:line="259" w:lineRule="auto"/>
      </w:pPr>
      <w:r>
        <w:t>A known high-risk incompatible case was also tested. It was correctly intercepted before NN inference and returned as fallback_required. A six-case integration validation suite covering valid, fallback, and invalid inputs passed 6/6 tests.</w:t>
      </w:r>
    </w:p>
    <w:p>
      <w:pPr>
        <w:pStyle w:val="Heading1"/>
      </w:pPr>
      <w:r>
        <w:t>2. Key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9"/>
              </w:rPr>
              <w:t>Item</w:t>
            </w:r>
          </w:p>
        </w:tc>
        <w:tc>
          <w:tcPr>
            <w:tcW w:type="dxa" w:w="5040"/>
            <w:vAlign w:val="center"/>
            <w:shd w:fill="D9EAF7"/>
          </w:tcPr>
          <w:p>
            <w:pPr>
              <w:spacing w:after="0"/>
            </w:pPr>
            <w:r/>
            <w:r>
              <w:rPr>
                <w:rFonts w:ascii="Aptos" w:hAnsi="Aptos"/>
                <w:b/>
                <w:sz w:val="19"/>
              </w:rPr>
              <w:t>Result</w:t>
            </w:r>
          </w:p>
        </w:tc>
      </w:tr>
      <w:tr>
        <w:tc>
          <w:tcPr>
            <w:tcW w:type="dxa" w:w="5040"/>
            <w:vAlign w:val="center"/>
          </w:tcPr>
          <w:p>
            <w:pPr>
              <w:spacing w:after="0"/>
            </w:pPr>
            <w:r/>
            <w:r>
              <w:rPr>
                <w:rFonts w:ascii="Aptos" w:hAnsi="Aptos"/>
                <w:b w:val="0"/>
                <w:sz w:val="19"/>
              </w:rPr>
              <w:t>Final detector training set</w:t>
            </w:r>
          </w:p>
        </w:tc>
        <w:tc>
          <w:tcPr>
            <w:tcW w:type="dxa" w:w="5040"/>
            <w:vAlign w:val="center"/>
          </w:tcPr>
          <w:p>
            <w:pPr>
              <w:spacing w:after="0"/>
            </w:pPr>
            <w:r/>
            <w:r>
              <w:rPr>
                <w:rFonts w:ascii="Aptos" w:hAnsi="Aptos"/>
                <w:b w:val="0"/>
                <w:sz w:val="19"/>
              </w:rPr>
              <w:t>477 high-confidence cases</w:t>
            </w:r>
          </w:p>
        </w:tc>
      </w:tr>
      <w:tr>
        <w:tc>
          <w:tcPr>
            <w:tcW w:type="dxa" w:w="5040"/>
            <w:vAlign w:val="center"/>
          </w:tcPr>
          <w:p>
            <w:pPr>
              <w:spacing w:after="0"/>
            </w:pPr>
            <w:r/>
            <w:r>
              <w:rPr>
                <w:rFonts w:ascii="Aptos" w:hAnsi="Aptos"/>
                <w:b w:val="0"/>
                <w:sz w:val="19"/>
              </w:rPr>
              <w:t>Class balance</w:t>
            </w:r>
          </w:p>
        </w:tc>
        <w:tc>
          <w:tcPr>
            <w:tcW w:type="dxa" w:w="5040"/>
            <w:vAlign w:val="center"/>
          </w:tcPr>
          <w:p>
            <w:pPr>
              <w:spacing w:after="0"/>
            </w:pPr>
            <w:r/>
            <w:r>
              <w:rPr>
                <w:rFonts w:ascii="Aptos" w:hAnsi="Aptos"/>
                <w:b w:val="0"/>
                <w:sz w:val="19"/>
              </w:rPr>
              <w:t>333 compatible / 144 incompatible</w:t>
            </w:r>
          </w:p>
        </w:tc>
      </w:tr>
      <w:tr>
        <w:tc>
          <w:tcPr>
            <w:tcW w:type="dxa" w:w="5040"/>
            <w:vAlign w:val="center"/>
          </w:tcPr>
          <w:p>
            <w:pPr>
              <w:spacing w:after="0"/>
            </w:pPr>
            <w:r/>
            <w:r>
              <w:rPr>
                <w:rFonts w:ascii="Aptos" w:hAnsi="Aptos"/>
                <w:b w:val="0"/>
                <w:sz w:val="19"/>
              </w:rPr>
              <w:t>Detector input</w:t>
            </w:r>
          </w:p>
        </w:tc>
        <w:tc>
          <w:tcPr>
            <w:tcW w:type="dxa" w:w="5040"/>
            <w:vAlign w:val="center"/>
          </w:tcPr>
          <w:p>
            <w:pPr>
              <w:spacing w:after="0"/>
            </w:pPr>
            <w:r/>
            <w:r>
              <w:rPr>
                <w:rFonts w:ascii="Aptos" w:hAnsi="Aptos"/>
                <w:b w:val="0"/>
                <w:sz w:val="19"/>
              </w:rPr>
              <w:t>54 pre-inference screening features</w:t>
            </w:r>
          </w:p>
        </w:tc>
      </w:tr>
      <w:tr>
        <w:tc>
          <w:tcPr>
            <w:tcW w:type="dxa" w:w="5040"/>
            <w:vAlign w:val="center"/>
          </w:tcPr>
          <w:p>
            <w:pPr>
              <w:spacing w:after="0"/>
            </w:pPr>
            <w:r/>
            <w:r>
              <w:rPr>
                <w:rFonts w:ascii="Aptos" w:hAnsi="Aptos"/>
                <w:b w:val="0"/>
                <w:sz w:val="19"/>
              </w:rPr>
              <w:t>Model</w:t>
            </w:r>
          </w:p>
        </w:tc>
        <w:tc>
          <w:tcPr>
            <w:tcW w:type="dxa" w:w="5040"/>
            <w:vAlign w:val="center"/>
          </w:tcPr>
          <w:p>
            <w:pPr>
              <w:spacing w:after="0"/>
            </w:pPr>
            <w:r/>
            <w:r>
              <w:rPr>
                <w:rFonts w:ascii="Aptos" w:hAnsi="Aptos"/>
                <w:b w:val="0"/>
                <w:sz w:val="19"/>
              </w:rPr>
              <w:t>StandardScaler + Logistic Regression (class_weight='balanced')</w:t>
            </w:r>
          </w:p>
        </w:tc>
      </w:tr>
      <w:tr>
        <w:tc>
          <w:tcPr>
            <w:tcW w:type="dxa" w:w="5040"/>
            <w:vAlign w:val="center"/>
          </w:tcPr>
          <w:p>
            <w:pPr>
              <w:spacing w:after="0"/>
            </w:pPr>
            <w:r/>
            <w:r>
              <w:rPr>
                <w:rFonts w:ascii="Aptos" w:hAnsi="Aptos"/>
                <w:b w:val="0"/>
                <w:sz w:val="19"/>
              </w:rPr>
              <w:t>Routing threshold</w:t>
            </w:r>
          </w:p>
        </w:tc>
        <w:tc>
          <w:tcPr>
            <w:tcW w:type="dxa" w:w="5040"/>
            <w:vAlign w:val="center"/>
          </w:tcPr>
          <w:p>
            <w:pPr>
              <w:spacing w:after="0"/>
            </w:pPr>
            <w:r/>
            <w:r>
              <w:rPr>
                <w:rFonts w:ascii="Aptos" w:hAnsi="Aptos"/>
                <w:b w:val="0"/>
                <w:sz w:val="19"/>
              </w:rPr>
              <w:t>0.10 (provisional high-recall threshold from Oct 9 analysis)</w:t>
            </w:r>
          </w:p>
        </w:tc>
      </w:tr>
      <w:tr>
        <w:tc>
          <w:tcPr>
            <w:tcW w:type="dxa" w:w="5040"/>
            <w:vAlign w:val="center"/>
          </w:tcPr>
          <w:p>
            <w:pPr>
              <w:spacing w:after="0"/>
            </w:pPr>
            <w:r/>
            <w:r>
              <w:rPr>
                <w:rFonts w:ascii="Aptos" w:hAnsi="Aptos"/>
                <w:b w:val="0"/>
                <w:sz w:val="19"/>
              </w:rPr>
              <w:t>RYA NN input</w:t>
            </w:r>
          </w:p>
        </w:tc>
        <w:tc>
          <w:tcPr>
            <w:tcW w:type="dxa" w:w="5040"/>
            <w:vAlign w:val="center"/>
          </w:tcPr>
          <w:p>
            <w:pPr>
              <w:spacing w:after="0"/>
            </w:pPr>
            <w:r/>
            <w:r>
              <w:rPr>
                <w:rFonts w:ascii="Aptos" w:hAnsi="Aptos"/>
                <w:b w:val="0"/>
                <w:sz w:val="19"/>
              </w:rPr>
              <w:t>40 features from EXP002 metadata</w:t>
            </w:r>
          </w:p>
        </w:tc>
      </w:tr>
      <w:tr>
        <w:tc>
          <w:tcPr>
            <w:tcW w:type="dxa" w:w="5040"/>
            <w:vAlign w:val="center"/>
          </w:tcPr>
          <w:p>
            <w:pPr>
              <w:spacing w:after="0"/>
            </w:pPr>
            <w:r/>
            <w:r>
              <w:rPr>
                <w:rFonts w:ascii="Aptos" w:hAnsi="Aptos"/>
                <w:b w:val="0"/>
                <w:sz w:val="19"/>
              </w:rPr>
              <w:t>RYA model</w:t>
            </w:r>
          </w:p>
        </w:tc>
        <w:tc>
          <w:tcPr>
            <w:tcW w:type="dxa" w:w="5040"/>
            <w:vAlign w:val="center"/>
          </w:tcPr>
          <w:p>
            <w:pPr>
              <w:spacing w:after="0"/>
            </w:pPr>
            <w:r/>
            <w:r>
              <w:rPr>
                <w:rFonts w:ascii="Aptos" w:hAnsi="Aptos"/>
                <w:b w:val="0"/>
                <w:sz w:val="19"/>
              </w:rPr>
              <w:t>EXP002_nn_optimal_epoch.onnx</w:t>
            </w:r>
          </w:p>
        </w:tc>
      </w:tr>
      <w:tr>
        <w:tc>
          <w:tcPr>
            <w:tcW w:type="dxa" w:w="5040"/>
            <w:vAlign w:val="center"/>
          </w:tcPr>
          <w:p>
            <w:pPr>
              <w:spacing w:after="0"/>
            </w:pPr>
            <w:r/>
            <w:r>
              <w:rPr>
                <w:rFonts w:ascii="Aptos" w:hAnsi="Aptos"/>
                <w:b w:val="0"/>
                <w:sz w:val="19"/>
              </w:rPr>
              <w:t>Safe test case</w:t>
            </w:r>
          </w:p>
        </w:tc>
        <w:tc>
          <w:tcPr>
            <w:tcW w:type="dxa" w:w="5040"/>
            <w:vAlign w:val="center"/>
          </w:tcPr>
          <w:p>
            <w:pPr>
              <w:spacing w:after="0"/>
            </w:pPr>
            <w:r/>
            <w:r>
              <w:rPr>
                <w:rFonts w:ascii="Aptos" w:hAnsi="Aptos"/>
                <w:b w:val="0"/>
                <w:sz w:val="19"/>
              </w:rPr>
              <w:t>ry9 -&gt; use_gamma_nn</w:t>
            </w:r>
          </w:p>
        </w:tc>
      </w:tr>
      <w:tr>
        <w:tc>
          <w:tcPr>
            <w:tcW w:type="dxa" w:w="5040"/>
            <w:vAlign w:val="center"/>
          </w:tcPr>
          <w:p>
            <w:pPr>
              <w:spacing w:after="0"/>
            </w:pPr>
            <w:r/>
            <w:r>
              <w:rPr>
                <w:rFonts w:ascii="Aptos" w:hAnsi="Aptos"/>
                <w:b w:val="0"/>
                <w:sz w:val="19"/>
              </w:rPr>
              <w:t>ry9 incompatibility probability</w:t>
            </w:r>
          </w:p>
        </w:tc>
        <w:tc>
          <w:tcPr>
            <w:tcW w:type="dxa" w:w="5040"/>
            <w:vAlign w:val="center"/>
          </w:tcPr>
          <w:p>
            <w:pPr>
              <w:spacing w:after="0"/>
            </w:pPr>
            <w:r/>
            <w:r>
              <w:rPr>
                <w:rFonts w:ascii="Aptos" w:hAnsi="Aptos"/>
                <w:b w:val="0"/>
                <w:sz w:val="19"/>
              </w:rPr>
              <w:t>0.0000448</w:t>
            </w:r>
          </w:p>
        </w:tc>
      </w:tr>
      <w:tr>
        <w:tc>
          <w:tcPr>
            <w:tcW w:type="dxa" w:w="5040"/>
            <w:vAlign w:val="center"/>
          </w:tcPr>
          <w:p>
            <w:pPr>
              <w:spacing w:after="0"/>
            </w:pPr>
            <w:r/>
            <w:r>
              <w:rPr>
                <w:rFonts w:ascii="Aptos" w:hAnsi="Aptos"/>
                <w:b w:val="0"/>
                <w:sz w:val="19"/>
              </w:rPr>
              <w:t>ry9 Gamma output</w:t>
            </w:r>
          </w:p>
        </w:tc>
        <w:tc>
          <w:tcPr>
            <w:tcW w:type="dxa" w:w="5040"/>
            <w:vAlign w:val="center"/>
          </w:tcPr>
          <w:p>
            <w:pPr>
              <w:spacing w:after="0"/>
            </w:pPr>
            <w:r/>
            <w:r>
              <w:rPr>
                <w:rFonts w:ascii="Aptos" w:hAnsi="Aptos"/>
                <w:b w:val="0"/>
                <w:sz w:val="19"/>
              </w:rPr>
              <w:t>shape 9.9705 / rate 20.9264</w:t>
            </w:r>
          </w:p>
        </w:tc>
      </w:tr>
      <w:tr>
        <w:tc>
          <w:tcPr>
            <w:tcW w:type="dxa" w:w="5040"/>
            <w:vAlign w:val="center"/>
          </w:tcPr>
          <w:p>
            <w:pPr>
              <w:spacing w:after="0"/>
            </w:pPr>
            <w:r/>
            <w:r>
              <w:rPr>
                <w:rFonts w:ascii="Aptos" w:hAnsi="Aptos"/>
                <w:b w:val="0"/>
                <w:sz w:val="19"/>
              </w:rPr>
              <w:t>Fallback test case</w:t>
            </w:r>
          </w:p>
        </w:tc>
        <w:tc>
          <w:tcPr>
            <w:tcW w:type="dxa" w:w="5040"/>
            <w:vAlign w:val="center"/>
          </w:tcPr>
          <w:p>
            <w:pPr>
              <w:spacing w:after="0"/>
            </w:pPr>
            <w:r/>
            <w:r>
              <w:rPr>
                <w:rFonts w:ascii="Aptos" w:hAnsi="Aptos"/>
                <w:b w:val="0"/>
                <w:sz w:val="19"/>
              </w:rPr>
              <w:t>ry24, nX=6, nY=5215 -&gt; fallback_required</w:t>
            </w:r>
          </w:p>
        </w:tc>
      </w:tr>
      <w:tr>
        <w:tc>
          <w:tcPr>
            <w:tcW w:type="dxa" w:w="5040"/>
            <w:vAlign w:val="center"/>
          </w:tcPr>
          <w:p>
            <w:pPr>
              <w:spacing w:after="0"/>
            </w:pPr>
            <w:r/>
            <w:r>
              <w:rPr>
                <w:rFonts w:ascii="Aptos" w:hAnsi="Aptos"/>
                <w:b w:val="0"/>
                <w:sz w:val="19"/>
              </w:rPr>
              <w:t>ry24 incompatibility probability</w:t>
            </w:r>
          </w:p>
        </w:tc>
        <w:tc>
          <w:tcPr>
            <w:tcW w:type="dxa" w:w="5040"/>
            <w:vAlign w:val="center"/>
          </w:tcPr>
          <w:p>
            <w:pPr>
              <w:spacing w:after="0"/>
            </w:pPr>
            <w:r/>
            <w:r>
              <w:rPr>
                <w:rFonts w:ascii="Aptos" w:hAnsi="Aptos"/>
                <w:b w:val="0"/>
                <w:sz w:val="19"/>
              </w:rPr>
              <w:t>0.999999897</w:t>
            </w:r>
          </w:p>
        </w:tc>
      </w:tr>
      <w:tr>
        <w:tc>
          <w:tcPr>
            <w:tcW w:type="dxa" w:w="5040"/>
            <w:vAlign w:val="center"/>
          </w:tcPr>
          <w:p>
            <w:pPr>
              <w:spacing w:after="0"/>
            </w:pPr>
            <w:r/>
            <w:r>
              <w:rPr>
                <w:rFonts w:ascii="Aptos" w:hAnsi="Aptos"/>
                <w:b w:val="0"/>
                <w:sz w:val="19"/>
              </w:rPr>
              <w:t>Integration validation</w:t>
            </w:r>
          </w:p>
        </w:tc>
        <w:tc>
          <w:tcPr>
            <w:tcW w:type="dxa" w:w="5040"/>
            <w:vAlign w:val="center"/>
          </w:tcPr>
          <w:p>
            <w:pPr>
              <w:spacing w:after="0"/>
            </w:pPr>
            <w:r/>
            <w:r>
              <w:rPr>
                <w:rFonts w:ascii="Aptos" w:hAnsi="Aptos"/>
                <w:b w:val="0"/>
                <w:sz w:val="19"/>
              </w:rPr>
              <w:t>6/6 tests passed</w:t>
            </w:r>
          </w:p>
        </w:tc>
      </w:tr>
    </w:tbl>
    <w:p>
      <w:pPr>
        <w:pStyle w:val="Heading1"/>
      </w:pPr>
      <w:r>
        <w:t>3. Work Completed for Oct 16</w:t>
      </w:r>
    </w:p>
    <w:p>
      <w:pPr>
        <w:pStyle w:val="Heading2"/>
      </w:pPr>
      <w:r>
        <w:t>3.1 Reproduced the Existing RYA Neural Network</w:t>
      </w:r>
    </w:p>
    <w:p>
      <w:pPr>
        <w:spacing w:after="120" w:line="259" w:lineRule="auto"/>
      </w:pPr>
      <w:r>
        <w:t>The supplied RYA inference path was reconstructed using the original feature definitions in feature_calculation_portal_script.py, the EXP002 metadata, and the supplied ONNX model. The metadata specifies 40 ordered input features: X and Y proportions, absolute X-Y differences, distribution moments, Euclidean distance, group sizes, 16 P-matrix values, and an asymmetry feature.</w:t>
      </w:r>
    </w:p>
    <w:p>
      <w:pPr>
        <w:spacing w:after="120" w:line="259" w:lineRule="auto"/>
      </w:pPr>
      <w:r>
        <w:t>For the existing ry9 example (x=[40,52,7,14], y=[9,17,54,12]), ONNX inference produced reverse-normalised Gamma parameters of shape=9.970475608 and rate=20.926446973. This established a baseline for checking whether the O1 integration changes downstream RYA inference.</w:t>
      </w:r>
    </w:p>
    <w:p>
      <w:pPr>
        <w:pStyle w:val="Heading2"/>
      </w:pPr>
      <w:r>
        <w:t>3.2 Verified the 54-Feature Screening Path</w:t>
      </w:r>
    </w:p>
    <w:p>
      <w:pPr>
        <w:spacing w:after="120" w:line="259" w:lineRule="auto"/>
      </w:pPr>
      <w:r>
        <w:t>The O1 feature_extractor.py implementation was checked against the saved detector-development data. The production-style wrapper reproduced all 54 detector features to numerical precision. A 100-case verification sample had a maximum absolute difference of 3.55e-15 and zero cases above the 1e-10 mismatch tolerance.</w:t>
      </w:r>
    </w:p>
    <w:p>
      <w:pPr>
        <w:spacing w:after="120" w:line="259" w:lineRule="auto"/>
      </w:pPr>
      <w:r>
        <w:t>One implementation detail was explicitly preserved: euclid_dist_XY is rounded to four decimal places to match the historical feature construction and the current RYA portal convention.</w:t>
      </w:r>
    </w:p>
    <w:p>
      <w:pPr>
        <w:pStyle w:val="Heading2"/>
      </w:pPr>
      <w:r>
        <w:t>3.3 Trained and Saved the Final Integration Detector</w:t>
      </w:r>
    </w:p>
    <w:p>
      <w:pPr>
        <w:spacing w:after="120" w:line="259" w:lineRule="auto"/>
      </w:pPr>
      <w:r>
        <w:t>The final Logistic Regression detector was fitted on all 477 high-confidence labelled cases retained after excluding ambiguous Gamma-fit cases. The feature order used for model fitting was verified to exactly match the integration wrapper. The fitted model, feature order, threshold, and class counts were saved as versioned integration artifacts.</w:t>
      </w:r>
    </w:p>
    <w:p>
      <w:r>
        <w:br w:type="page"/>
      </w:r>
    </w:p>
    <w:p>
      <w:pPr>
        <w:pStyle w:val="Heading1"/>
      </w:pPr>
      <w:r>
        <w:t>4. Integrated Routing Logic</w:t>
      </w:r>
    </w:p>
    <w:p>
      <w:pPr>
        <w:spacing w:after="120" w:line="259" w:lineRule="auto"/>
      </w:pPr>
      <w:r>
        <w:t>The implemented prototype follows the routing sequence below. The existing RYA neural network is not retrained or modified.</w:t>
      </w:r>
    </w:p>
    <w:tbl>
      <w:tblPr>
        <w:tblStyle w:val="TableGrid"/>
        <w:tblW w:type="auto" w:w="0"/>
        <w:jc w:val="center"/>
        <w:tblLook w:firstColumn="1" w:firstRow="1" w:lastColumn="0" w:lastRow="0" w:noHBand="0" w:noVBand="1" w:val="04A0"/>
      </w:tblPr>
      <w:tblGrid>
        <w:gridCol w:w="10080"/>
      </w:tblGrid>
      <w:tr>
        <w:tc>
          <w:tcPr>
            <w:tcW w:type="dxa" w:w="10080"/>
            <w:vAlign w:val="center"/>
          </w:tcPr>
          <w:p>
            <w:pPr>
              <w:spacing w:after="0"/>
            </w:pPr>
            <w:r/>
            <w:r>
              <w:rPr>
                <w:rFonts w:ascii="Aptos" w:hAnsi="Aptos"/>
                <w:b/>
                <w:sz w:val="19"/>
              </w:rPr>
              <w:t>1. Raw RYA input: x counts, y counts, question/P matrix</w:t>
            </w:r>
          </w:p>
        </w:tc>
      </w:tr>
      <w:tr>
        <w:tc>
          <w:tcPr>
            <w:tcW w:type="dxa" w:w="10080"/>
            <w:vAlign w:val="center"/>
          </w:tcPr>
          <w:p>
            <w:pPr>
              <w:spacing w:after="0"/>
            </w:pPr>
            <w:r/>
            <w:r>
              <w:rPr>
                <w:rFonts w:ascii="Aptos" w:hAnsi="Aptos"/>
                <w:b w:val="0"/>
                <w:sz w:val="19"/>
              </w:rPr>
              <w:t>2. Input validation: shape, non-negativity, non-empty groups, P-matrix checks</w:t>
            </w:r>
          </w:p>
        </w:tc>
      </w:tr>
      <w:tr>
        <w:tc>
          <w:tcPr>
            <w:tcW w:type="dxa" w:w="10080"/>
            <w:vAlign w:val="center"/>
          </w:tcPr>
          <w:p>
            <w:pPr>
              <w:spacing w:after="0"/>
            </w:pPr>
            <w:r/>
            <w:r>
              <w:rPr>
                <w:rFonts w:ascii="Aptos" w:hAnsi="Aptos"/>
                <w:b w:val="0"/>
                <w:sz w:val="19"/>
              </w:rPr>
              <w:t>3. Build 54 O1 screening features</w:t>
            </w:r>
          </w:p>
        </w:tc>
      </w:tr>
      <w:tr>
        <w:tc>
          <w:tcPr>
            <w:tcW w:type="dxa" w:w="10080"/>
            <w:vAlign w:val="center"/>
          </w:tcPr>
          <w:p>
            <w:pPr>
              <w:spacing w:after="0"/>
            </w:pPr>
            <w:r/>
            <w:r>
              <w:rPr>
                <w:rFonts w:ascii="Aptos" w:hAnsi="Aptos"/>
                <w:b w:val="0"/>
                <w:sz w:val="19"/>
              </w:rPr>
              <w:t>4. Estimate incompatibility probability with final Logistic Regression detector</w:t>
            </w:r>
          </w:p>
        </w:tc>
      </w:tr>
      <w:tr>
        <w:tc>
          <w:tcPr>
            <w:tcW w:type="dxa" w:w="10080"/>
            <w:vAlign w:val="center"/>
            <w:shd w:fill="F4F6F7"/>
          </w:tcPr>
          <w:p>
            <w:pPr>
              <w:spacing w:after="0"/>
            </w:pPr>
            <w:r/>
            <w:r>
              <w:rPr>
                <w:rFonts w:ascii="Aptos" w:hAnsi="Aptos"/>
                <w:b/>
                <w:sz w:val="19"/>
              </w:rPr>
              <w:t>5a. Probability &gt;= 0.10 -&gt; fallback_required (NN bypassed)</w:t>
            </w:r>
          </w:p>
        </w:tc>
      </w:tr>
      <w:tr>
        <w:tc>
          <w:tcPr>
            <w:tcW w:type="dxa" w:w="10080"/>
            <w:vAlign w:val="center"/>
            <w:shd w:fill="F4F6F7"/>
          </w:tcPr>
          <w:p>
            <w:pPr>
              <w:spacing w:after="0"/>
            </w:pPr>
            <w:r/>
            <w:r>
              <w:rPr>
                <w:rFonts w:ascii="Aptos" w:hAnsi="Aptos"/>
                <w:b/>
                <w:sz w:val="19"/>
              </w:rPr>
              <w:t>5b. Probability &lt; 0.10 -&gt; build 40 RYA NN features and normalise with EXP002 metadata</w:t>
            </w:r>
          </w:p>
        </w:tc>
      </w:tr>
      <w:tr>
        <w:tc>
          <w:tcPr>
            <w:tcW w:type="dxa" w:w="10080"/>
            <w:vAlign w:val="center"/>
          </w:tcPr>
          <w:p>
            <w:pPr>
              <w:spacing w:after="0"/>
            </w:pPr>
            <w:r/>
            <w:r>
              <w:rPr>
                <w:rFonts w:ascii="Aptos" w:hAnsi="Aptos"/>
                <w:b w:val="0"/>
                <w:sz w:val="19"/>
              </w:rPr>
              <w:t>6. Run unchanged ONNX Gamma NN -&gt; reverse-normalised shape and rate</w:t>
            </w:r>
          </w:p>
        </w:tc>
      </w:tr>
    </w:tbl>
    <w:p>
      <w:pPr>
        <w:pStyle w:val="Heading1"/>
      </w:pPr>
      <w:r>
        <w:t>5. Integration Tests</w:t>
      </w:r>
    </w:p>
    <w:p>
      <w:pPr>
        <w:pStyle w:val="Heading2"/>
      </w:pPr>
      <w:r>
        <w:t>5.1 Safe Route: ry9</w:t>
      </w:r>
    </w:p>
    <w:p>
      <w:pPr>
        <w:spacing w:after="120" w:line="259" w:lineRule="auto"/>
      </w:pPr>
      <w:r>
        <w:t>The ry9 example was passed through the full integrated function. Its incompatibility probability was 4.47695e-05, well below the 0.10 threshold, so the case was routed to use_gamma_nn. The returned Gamma shape and rate were identical to the standalone RYA NN result: 9.9705 and 20.9264.</w:t>
      </w:r>
    </w:p>
    <w:p>
      <w:pPr>
        <w:pStyle w:val="Heading2"/>
      </w:pPr>
      <w:r>
        <w:t>5.2 Fallback Route: High-Risk ry24 Case</w:t>
      </w:r>
    </w:p>
    <w:p>
      <w:pPr>
        <w:spacing w:after="120" w:line="259" w:lineRule="auto"/>
      </w:pPr>
      <w:r>
        <w:t>A known high-confidence incompatible case, orthog_B_3_large_classes_2166 (question ry24), was used to test the fallback branch. Its group sizes were nX=6 and nY=5215, giving an extreme group-size ratio of about 869. The detector returned probability 0.999999897 and the integrated function returned fallback_required with no Gamma shape or rate, confirming that NN inference was bypassed.</w:t>
      </w:r>
    </w:p>
    <w:p>
      <w:pPr>
        <w:pStyle w:val="Heading2"/>
      </w:pPr>
      <w:r>
        <w:t>5.3 Validation Suite</w:t>
      </w:r>
    </w:p>
    <w:p>
      <w:pPr>
        <w:spacing w:after="120" w:line="259" w:lineRule="auto"/>
      </w:pPr>
      <w:r>
        <w:t>A small regression-style validation suite was added to test both valid routing branches and basic invalid-input handling. All six tests passed.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ptos" w:hAnsi="Aptos"/>
                <w:b/>
                <w:sz w:val="19"/>
              </w:rPr>
              <w:t>Test</w:t>
            </w:r>
          </w:p>
        </w:tc>
        <w:tc>
          <w:tcPr>
            <w:tcW w:type="dxa" w:w="3360"/>
            <w:vAlign w:val="center"/>
            <w:shd w:fill="D9EAF7"/>
          </w:tcPr>
          <w:p>
            <w:pPr>
              <w:spacing w:after="0"/>
            </w:pPr>
            <w:r/>
            <w:r>
              <w:rPr>
                <w:rFonts w:ascii="Aptos" w:hAnsi="Aptos"/>
                <w:b/>
                <w:sz w:val="19"/>
              </w:rPr>
              <w:t>Expected route</w:t>
            </w:r>
          </w:p>
        </w:tc>
        <w:tc>
          <w:tcPr>
            <w:tcW w:type="dxa" w:w="3360"/>
            <w:vAlign w:val="center"/>
            <w:shd w:fill="D9EAF7"/>
          </w:tcPr>
          <w:p>
            <w:pPr>
              <w:spacing w:after="0"/>
            </w:pPr>
            <w:r/>
            <w:r>
              <w:rPr>
                <w:rFonts w:ascii="Aptos" w:hAnsi="Aptos"/>
                <w:b/>
                <w:sz w:val="19"/>
              </w:rPr>
              <w:t>Result</w:t>
            </w:r>
          </w:p>
        </w:tc>
      </w:tr>
      <w:tr>
        <w:tc>
          <w:tcPr>
            <w:tcW w:type="dxa" w:w="3360"/>
            <w:vAlign w:val="center"/>
          </w:tcPr>
          <w:p>
            <w:pPr>
              <w:spacing w:after="0"/>
            </w:pPr>
            <w:r/>
            <w:r>
              <w:rPr>
                <w:rFonts w:ascii="Aptos" w:hAnsi="Aptos"/>
                <w:b w:val="0"/>
                <w:sz w:val="19"/>
              </w:rPr>
              <w:t>Safe ry9</w:t>
            </w:r>
          </w:p>
        </w:tc>
        <w:tc>
          <w:tcPr>
            <w:tcW w:type="dxa" w:w="3360"/>
            <w:vAlign w:val="center"/>
          </w:tcPr>
          <w:p>
            <w:pPr>
              <w:spacing w:after="0"/>
            </w:pPr>
            <w:r/>
            <w:r>
              <w:rPr>
                <w:rFonts w:ascii="Aptos" w:hAnsi="Aptos"/>
                <w:b w:val="0"/>
                <w:sz w:val="19"/>
              </w:rPr>
              <w:t>use_gamma_nn</w:t>
            </w:r>
          </w:p>
        </w:tc>
        <w:tc>
          <w:tcPr>
            <w:tcW w:type="dxa" w:w="3360"/>
            <w:vAlign w:val="center"/>
          </w:tcPr>
          <w:p>
            <w:pPr>
              <w:spacing w:after="0"/>
            </w:pPr>
            <w:r/>
            <w:r>
              <w:rPr>
                <w:rFonts w:ascii="Aptos" w:hAnsi="Aptos"/>
                <w:b/>
                <w:sz w:val="19"/>
              </w:rPr>
              <w:t>PASS</w:t>
            </w:r>
          </w:p>
        </w:tc>
      </w:tr>
      <w:tr>
        <w:tc>
          <w:tcPr>
            <w:tcW w:type="dxa" w:w="3360"/>
            <w:vAlign w:val="center"/>
          </w:tcPr>
          <w:p>
            <w:pPr>
              <w:spacing w:after="0"/>
            </w:pPr>
            <w:r/>
            <w:r>
              <w:rPr>
                <w:rFonts w:ascii="Aptos" w:hAnsi="Aptos"/>
                <w:b w:val="0"/>
                <w:sz w:val="19"/>
              </w:rPr>
              <w:t>Known incompatible ry24</w:t>
            </w:r>
          </w:p>
        </w:tc>
        <w:tc>
          <w:tcPr>
            <w:tcW w:type="dxa" w:w="3360"/>
            <w:vAlign w:val="center"/>
          </w:tcPr>
          <w:p>
            <w:pPr>
              <w:spacing w:after="0"/>
            </w:pPr>
            <w:r/>
            <w:r>
              <w:rPr>
                <w:rFonts w:ascii="Aptos" w:hAnsi="Aptos"/>
                <w:b w:val="0"/>
                <w:sz w:val="19"/>
              </w:rPr>
              <w:t>fallback_required</w:t>
            </w:r>
          </w:p>
        </w:tc>
        <w:tc>
          <w:tcPr>
            <w:tcW w:type="dxa" w:w="3360"/>
            <w:vAlign w:val="center"/>
          </w:tcPr>
          <w:p>
            <w:pPr>
              <w:spacing w:after="0"/>
            </w:pPr>
            <w:r/>
            <w:r>
              <w:rPr>
                <w:rFonts w:ascii="Aptos" w:hAnsi="Aptos"/>
                <w:b/>
                <w:sz w:val="19"/>
              </w:rPr>
              <w:t>PASS</w:t>
            </w:r>
          </w:p>
        </w:tc>
      </w:tr>
      <w:tr>
        <w:tc>
          <w:tcPr>
            <w:tcW w:type="dxa" w:w="3360"/>
            <w:vAlign w:val="center"/>
          </w:tcPr>
          <w:p>
            <w:pPr>
              <w:spacing w:after="0"/>
            </w:pPr>
            <w:r/>
            <w:r>
              <w:rPr>
                <w:rFonts w:ascii="Aptos" w:hAnsi="Aptos"/>
                <w:b w:val="0"/>
                <w:sz w:val="19"/>
              </w:rPr>
              <w:t>Negative count</w:t>
            </w:r>
          </w:p>
        </w:tc>
        <w:tc>
          <w:tcPr>
            <w:tcW w:type="dxa" w:w="3360"/>
            <w:vAlign w:val="center"/>
          </w:tcPr>
          <w:p>
            <w:pPr>
              <w:spacing w:after="0"/>
            </w:pPr>
            <w:r/>
            <w:r>
              <w:rPr>
                <w:rFonts w:ascii="Aptos" w:hAnsi="Aptos"/>
                <w:b w:val="0"/>
                <w:sz w:val="19"/>
              </w:rPr>
              <w:t>invalid_input</w:t>
            </w:r>
          </w:p>
        </w:tc>
        <w:tc>
          <w:tcPr>
            <w:tcW w:type="dxa" w:w="3360"/>
            <w:vAlign w:val="center"/>
          </w:tcPr>
          <w:p>
            <w:pPr>
              <w:spacing w:after="0"/>
            </w:pPr>
            <w:r/>
            <w:r>
              <w:rPr>
                <w:rFonts w:ascii="Aptos" w:hAnsi="Aptos"/>
                <w:b/>
                <w:sz w:val="19"/>
              </w:rPr>
              <w:t>PASS</w:t>
            </w:r>
          </w:p>
        </w:tc>
      </w:tr>
      <w:tr>
        <w:tc>
          <w:tcPr>
            <w:tcW w:type="dxa" w:w="3360"/>
            <w:vAlign w:val="center"/>
          </w:tcPr>
          <w:p>
            <w:pPr>
              <w:spacing w:after="0"/>
            </w:pPr>
            <w:r/>
            <w:r>
              <w:rPr>
                <w:rFonts w:ascii="Aptos" w:hAnsi="Aptos"/>
                <w:b w:val="0"/>
                <w:sz w:val="19"/>
              </w:rPr>
              <w:t>Zero-total group</w:t>
            </w:r>
          </w:p>
        </w:tc>
        <w:tc>
          <w:tcPr>
            <w:tcW w:type="dxa" w:w="3360"/>
            <w:vAlign w:val="center"/>
          </w:tcPr>
          <w:p>
            <w:pPr>
              <w:spacing w:after="0"/>
            </w:pPr>
            <w:r/>
            <w:r>
              <w:rPr>
                <w:rFonts w:ascii="Aptos" w:hAnsi="Aptos"/>
                <w:b w:val="0"/>
                <w:sz w:val="19"/>
              </w:rPr>
              <w:t>invalid_input</w:t>
            </w:r>
          </w:p>
        </w:tc>
        <w:tc>
          <w:tcPr>
            <w:tcW w:type="dxa" w:w="3360"/>
            <w:vAlign w:val="center"/>
          </w:tcPr>
          <w:p>
            <w:pPr>
              <w:spacing w:after="0"/>
            </w:pPr>
            <w:r/>
            <w:r>
              <w:rPr>
                <w:rFonts w:ascii="Aptos" w:hAnsi="Aptos"/>
                <w:b/>
                <w:sz w:val="19"/>
              </w:rPr>
              <w:t>PASS</w:t>
            </w:r>
          </w:p>
        </w:tc>
      </w:tr>
      <w:tr>
        <w:tc>
          <w:tcPr>
            <w:tcW w:type="dxa" w:w="3360"/>
            <w:vAlign w:val="center"/>
          </w:tcPr>
          <w:p>
            <w:pPr>
              <w:spacing w:after="0"/>
            </w:pPr>
            <w:r/>
            <w:r>
              <w:rPr>
                <w:rFonts w:ascii="Aptos" w:hAnsi="Aptos"/>
                <w:b w:val="0"/>
                <w:sz w:val="19"/>
              </w:rPr>
              <w:t>Invalid P shape</w:t>
            </w:r>
          </w:p>
        </w:tc>
        <w:tc>
          <w:tcPr>
            <w:tcW w:type="dxa" w:w="3360"/>
            <w:vAlign w:val="center"/>
          </w:tcPr>
          <w:p>
            <w:pPr>
              <w:spacing w:after="0"/>
            </w:pPr>
            <w:r/>
            <w:r>
              <w:rPr>
                <w:rFonts w:ascii="Aptos" w:hAnsi="Aptos"/>
                <w:b w:val="0"/>
                <w:sz w:val="19"/>
              </w:rPr>
              <w:t>invalid_input</w:t>
            </w:r>
          </w:p>
        </w:tc>
        <w:tc>
          <w:tcPr>
            <w:tcW w:type="dxa" w:w="3360"/>
            <w:vAlign w:val="center"/>
          </w:tcPr>
          <w:p>
            <w:pPr>
              <w:spacing w:after="0"/>
            </w:pPr>
            <w:r/>
            <w:r>
              <w:rPr>
                <w:rFonts w:ascii="Aptos" w:hAnsi="Aptos"/>
                <w:b/>
                <w:sz w:val="19"/>
              </w:rPr>
              <w:t>PASS</w:t>
            </w:r>
          </w:p>
        </w:tc>
      </w:tr>
      <w:tr>
        <w:tc>
          <w:tcPr>
            <w:tcW w:type="dxa" w:w="3360"/>
            <w:vAlign w:val="center"/>
          </w:tcPr>
          <w:p>
            <w:pPr>
              <w:spacing w:after="0"/>
            </w:pPr>
            <w:r/>
            <w:r>
              <w:rPr>
                <w:rFonts w:ascii="Aptos" w:hAnsi="Aptos"/>
                <w:b w:val="0"/>
                <w:sz w:val="19"/>
              </w:rPr>
              <w:t>Materially invalid P row sums</w:t>
            </w:r>
          </w:p>
        </w:tc>
        <w:tc>
          <w:tcPr>
            <w:tcW w:type="dxa" w:w="3360"/>
            <w:vAlign w:val="center"/>
          </w:tcPr>
          <w:p>
            <w:pPr>
              <w:spacing w:after="0"/>
            </w:pPr>
            <w:r/>
            <w:r>
              <w:rPr>
                <w:rFonts w:ascii="Aptos" w:hAnsi="Aptos"/>
                <w:b w:val="0"/>
                <w:sz w:val="19"/>
              </w:rPr>
              <w:t>invalid_input</w:t>
            </w:r>
          </w:p>
        </w:tc>
        <w:tc>
          <w:tcPr>
            <w:tcW w:type="dxa" w:w="3360"/>
            <w:vAlign w:val="center"/>
          </w:tcPr>
          <w:p>
            <w:pPr>
              <w:spacing w:after="0"/>
            </w:pPr>
            <w:r/>
            <w:r>
              <w:rPr>
                <w:rFonts w:ascii="Aptos" w:hAnsi="Aptos"/>
                <w:b/>
                <w:sz w:val="19"/>
              </w:rPr>
              <w:t>PASS</w:t>
            </w:r>
          </w:p>
        </w:tc>
      </w:tr>
    </w:tbl>
    <w:p>
      <w:pPr>
        <w:pStyle w:val="Heading1"/>
      </w:pPr>
      <w:r>
        <w:t>6. P-Matrix Handling Finding</w:t>
      </w:r>
    </w:p>
    <w:p>
      <w:pPr>
        <w:spacing w:after="120" w:line="259" w:lineRule="auto"/>
      </w:pPr>
      <w:r>
        <w:t>During integration, some supplied RYA unreliability matrices were found to have small row-sum deviations caused by rounded probability values. For example, one ry9 row sums to 1.01. A strict 1e-6 validation tolerance would therefore reject an input that the current RYA model already accepts.</w:t>
      </w:r>
    </w:p>
    <w:p>
      <w:pPr>
        <w:spacing w:after="120" w:line="259" w:lineRule="auto"/>
      </w:pPr>
      <w:r>
        <w:t>The prototype now accepts row-sum errors up to 0.02, records a validation warning, and keeps the original matrix without renormalisation. This is intentionally conservative with respect to the existing RYA NN because renormalising the matrix would change its input values.</w:t>
      </w:r>
    </w:p>
    <w:p>
      <w:pPr>
        <w:pStyle w:val="Heading1"/>
      </w:pPr>
      <w:r>
        <w:t>7. Assumptions and Remaining Limitations</w:t>
      </w:r>
    </w:p>
    <w:p>
      <w:pPr>
        <w:pStyle w:val="ListBullet"/>
        <w:spacing w:after="60"/>
        <w:ind w:left="0"/>
      </w:pPr>
      <w:r>
        <w:t>The 0.10 detector threshold is provisional. It was selected from the Oct 9 repeated out-of-fold analysis to prioritise recall of incompatible cases; it should not be presented as a universal statistical cutoff.</w:t>
      </w:r>
    </w:p>
    <w:p>
      <w:pPr>
        <w:pStyle w:val="ListBullet"/>
        <w:spacing w:after="60"/>
        <w:ind w:left="0"/>
      </w:pPr>
      <w:r>
        <w:t>The final detector is fitted on 477 high-confidence cases only. Ambiguous Gamma-fit cases remain excluded from supervised detector training.</w:t>
      </w:r>
    </w:p>
    <w:p>
      <w:pPr>
        <w:pStyle w:val="ListBullet"/>
        <w:spacing w:after="60"/>
        <w:ind w:left="0"/>
      </w:pPr>
      <w:r>
        <w:t>The current fallback is a placeholder route only. The alternative inference method belongs to the project fallback component and is not implemented in O1.</w:t>
      </w:r>
    </w:p>
    <w:p>
      <w:pPr>
        <w:pStyle w:val="ListBullet"/>
        <w:spacing w:after="60"/>
        <w:ind w:left="0"/>
      </w:pPr>
      <w:r>
        <w:t>Historical detector-development rows contain instance-specific P matrices, while the current RYA portal appears to obtain P from the question identifier. This interface assumption should be confirmed with RYA before deployment.</w:t>
      </w:r>
    </w:p>
    <w:p>
      <w:pPr>
        <w:pStyle w:val="ListBullet"/>
        <w:spacing w:after="60"/>
        <w:ind w:left="0"/>
      </w:pPr>
      <w:r>
        <w:t>The integrated O1 implementation is currently a Python prototype. The existing Gamma model remains ONNX-based; packaging the new detector for browser deployment can be addressed after the interface is confirmed.</w:t>
      </w:r>
    </w:p>
    <w:p>
      <w:pPr>
        <w:pStyle w:val="ListBullet"/>
        <w:spacing w:after="60"/>
        <w:ind w:left="0"/>
      </w:pPr>
      <w:r>
        <w:t>Small P-matrix row-sum deviations up to 0.02 are treated as rounding warnings in the prototype. This tolerance should be confirmed with RYA before production use.</w:t>
      </w:r>
    </w:p>
    <w:p>
      <w:pPr>
        <w:pStyle w:val="Heading1"/>
      </w:pPr>
      <w:r>
        <w:t>8. Oct 16 Artifacts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9"/>
              </w:rPr>
              <w:t>Artifact</w:t>
            </w:r>
          </w:p>
        </w:tc>
        <w:tc>
          <w:tcPr>
            <w:tcW w:type="dxa" w:w="5040"/>
            <w:vAlign w:val="center"/>
            <w:shd w:fill="D9EAF7"/>
          </w:tcPr>
          <w:p>
            <w:pPr>
              <w:spacing w:after="0"/>
            </w:pPr>
            <w:r/>
            <w:r>
              <w:rPr>
                <w:rFonts w:ascii="Aptos" w:hAnsi="Aptos"/>
                <w:b/>
                <w:sz w:val="19"/>
              </w:rPr>
              <w:t>Purpose</w:t>
            </w:r>
          </w:p>
        </w:tc>
      </w:tr>
      <w:tr>
        <w:tc>
          <w:tcPr>
            <w:tcW w:type="dxa" w:w="5040"/>
            <w:vAlign w:val="center"/>
          </w:tcPr>
          <w:p>
            <w:pPr>
              <w:spacing w:after="0"/>
            </w:pPr>
            <w:r/>
            <w:r>
              <w:rPr>
                <w:rFonts w:ascii="Aptos" w:hAnsi="Aptos"/>
                <w:b w:val="0"/>
                <w:sz w:val="19"/>
              </w:rPr>
              <w:t>O1_07_compatibility_detector_v1.joblib</w:t>
            </w:r>
          </w:p>
        </w:tc>
        <w:tc>
          <w:tcPr>
            <w:tcW w:type="dxa" w:w="5040"/>
            <w:vAlign w:val="center"/>
          </w:tcPr>
          <w:p>
            <w:pPr>
              <w:spacing w:after="0"/>
            </w:pPr>
            <w:r/>
            <w:r>
              <w:rPr>
                <w:rFonts w:ascii="Aptos" w:hAnsi="Aptos"/>
                <w:b w:val="0"/>
                <w:sz w:val="19"/>
              </w:rPr>
              <w:t>Fitted 54-feature Logistic Regression detector.</w:t>
            </w:r>
          </w:p>
        </w:tc>
      </w:tr>
      <w:tr>
        <w:tc>
          <w:tcPr>
            <w:tcW w:type="dxa" w:w="5040"/>
            <w:vAlign w:val="center"/>
          </w:tcPr>
          <w:p>
            <w:pPr>
              <w:spacing w:after="0"/>
            </w:pPr>
            <w:r/>
            <w:r>
              <w:rPr>
                <w:rFonts w:ascii="Aptos" w:hAnsi="Aptos"/>
                <w:b w:val="0"/>
                <w:sz w:val="19"/>
              </w:rPr>
              <w:t>O1_07_compatibility_detector_v1_metadata.json</w:t>
            </w:r>
          </w:p>
        </w:tc>
        <w:tc>
          <w:tcPr>
            <w:tcW w:type="dxa" w:w="5040"/>
            <w:vAlign w:val="center"/>
          </w:tcPr>
          <w:p>
            <w:pPr>
              <w:spacing w:after="0"/>
            </w:pPr>
            <w:r/>
            <w:r>
              <w:rPr>
                <w:rFonts w:ascii="Aptos" w:hAnsi="Aptos"/>
                <w:b w:val="0"/>
                <w:sz w:val="19"/>
              </w:rPr>
              <w:t>Feature order, threshold, training counts and model metadata.</w:t>
            </w:r>
          </w:p>
        </w:tc>
      </w:tr>
      <w:tr>
        <w:tc>
          <w:tcPr>
            <w:tcW w:type="dxa" w:w="5040"/>
            <w:vAlign w:val="center"/>
          </w:tcPr>
          <w:p>
            <w:pPr>
              <w:spacing w:after="0"/>
            </w:pPr>
            <w:r/>
            <w:r>
              <w:rPr>
                <w:rFonts w:ascii="Aptos" w:hAnsi="Aptos"/>
                <w:b w:val="0"/>
                <w:sz w:val="19"/>
              </w:rPr>
              <w:t>O1_07_integration_validation_results.csv</w:t>
            </w:r>
          </w:p>
        </w:tc>
        <w:tc>
          <w:tcPr>
            <w:tcW w:type="dxa" w:w="5040"/>
            <w:vAlign w:val="center"/>
          </w:tcPr>
          <w:p>
            <w:pPr>
              <w:spacing w:after="0"/>
            </w:pPr>
            <w:r/>
            <w:r>
              <w:rPr>
                <w:rFonts w:ascii="Aptos" w:hAnsi="Aptos"/>
                <w:b w:val="0"/>
                <w:sz w:val="19"/>
              </w:rPr>
              <w:t>Results of the six-case integration validation suite.</w:t>
            </w:r>
          </w:p>
        </w:tc>
      </w:tr>
      <w:tr>
        <w:tc>
          <w:tcPr>
            <w:tcW w:type="dxa" w:w="5040"/>
            <w:vAlign w:val="center"/>
          </w:tcPr>
          <w:p>
            <w:pPr>
              <w:spacing w:after="0"/>
            </w:pPr>
            <w:r/>
            <w:r>
              <w:rPr>
                <w:rFonts w:ascii="Aptos" w:hAnsi="Aptos"/>
                <w:b w:val="0"/>
                <w:sz w:val="19"/>
              </w:rPr>
              <w:t>O1_07_detector_integration.ipynb</w:t>
            </w:r>
          </w:p>
        </w:tc>
        <w:tc>
          <w:tcPr>
            <w:tcW w:type="dxa" w:w="5040"/>
            <w:vAlign w:val="center"/>
          </w:tcPr>
          <w:p>
            <w:pPr>
              <w:spacing w:after="0"/>
            </w:pPr>
            <w:r/>
            <w:r>
              <w:rPr>
                <w:rFonts w:ascii="Aptos" w:hAnsi="Aptos"/>
                <w:b w:val="0"/>
                <w:sz w:val="19"/>
              </w:rPr>
              <w:t>Working notebook containing RYA NN reproduction, detector integration and routing tests.</w:t>
            </w:r>
          </w:p>
        </w:tc>
      </w:tr>
    </w:tbl>
    <w:p>
      <w:pPr>
        <w:pStyle w:val="Heading1"/>
      </w:pPr>
      <w:r>
        <w:t>9. Recommended Next Actions</w:t>
      </w:r>
    </w:p>
    <w:p>
      <w:pPr>
        <w:pStyle w:val="ListBullet"/>
        <w:spacing w:after="60"/>
        <w:ind w:left="0"/>
      </w:pPr>
      <w:r>
        <w:t>Freeze the current working O1 integration code as the Oct 16 baseline before adding new functionality.</w:t>
      </w:r>
    </w:p>
    <w:p>
      <w:pPr>
        <w:pStyle w:val="ListBullet"/>
        <w:spacing w:after="60"/>
        <w:ind w:left="0"/>
      </w:pPr>
      <w:r>
        <w:t>Confirm with RYA/team whether live inference should use question-level P matrices or instance-specific P matrices.</w:t>
      </w:r>
    </w:p>
    <w:p>
      <w:pPr>
        <w:pStyle w:val="ListBullet"/>
        <w:spacing w:after="60"/>
        <w:ind w:left="0"/>
      </w:pPr>
      <w:r>
        <w:t>Confirm the intended production treatment of small P-matrix row-sum deviations.</w:t>
      </w:r>
    </w:p>
    <w:p>
      <w:pPr>
        <w:pStyle w:val="ListBullet"/>
        <w:spacing w:after="60"/>
        <w:ind w:left="0"/>
      </w:pPr>
      <w:r>
        <w:t>Coordinate the fallback_required interface with the teammate responsible for fallback inference so that O1 can call the agreed fallback method later.</w:t>
      </w:r>
    </w:p>
    <w:p>
      <w:pPr>
        <w:pStyle w:val="ListBullet"/>
        <w:spacing w:after="60"/>
        <w:ind w:left="0"/>
      </w:pPr>
      <w:r>
        <w:t>After the interface is confirmed, consider deployment packaging of the screening model and a larger regression test across historical cases.</w:t>
      </w:r>
    </w:p>
    <w:p>
      <w:pPr>
        <w:pStyle w:val="Heading1"/>
      </w:pPr>
      <w:r>
        <w:t>10. Notebook Traceability</w:t>
      </w:r>
    </w:p>
    <w:p>
      <w:pPr>
        <w:spacing w:after="120" w:line="259" w:lineRule="auto"/>
      </w:pPr>
      <w:r>
        <w:t>The main Oct 16 work is contained in O1_07_detector_integration.ipynb. Sections 8-9 verify and package the 54-feature detector path; Section 10 implements and tests the integrated validator -&gt; detector -&gt; NN/fallback routing; Section 11 contains the six-case integration validation suite; Section 12 records the milestone summary and artifact inventory.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PG-S2-32 | RYA Capstone | O1 Oct 16 Milestone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