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Bitcoin Market Sentiment &amp; Trader Performance Analysis</w:t>
      </w:r>
    </w:p>
    <w:p>
      <w:pPr>
        <w:spacing w:after="400"/>
      </w:pPr>
      <w:r>
        <w:rPr>
          <w:i/>
          <w:iCs/>
          <w:color w:val="555555"/>
        </w:rPr>
        <w:t xml:space="preserve">DS Task — Round 0 Submission</w:t>
      </w:r>
    </w:p>
    <w:p>
      <w:pPr>
        <w:pStyle w:val="Heading1"/>
        <w:spacing w:after="140" w:before="280"/>
      </w:pPr>
      <w:r>
        <w:t xml:space="preserve">Executive Summary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Traders in this dataset performed best during Extreme Greed (89.2% win rate) and Fear (87.3%), and worst during Extreme Fear (76.2%) and Greed (76.9%) — performance follows a jagged, non-linear pattern rather than a simple "fear = losses, greed = gains" story.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Positioning is contrarian at the extremes: 68.8% of new positions opened during Extreme Fear were LONG, while only 45.1% of new positions during Extreme Greed were long (54.9% short) — this cohort buys dips and fades euphoria rather than following the crowd.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Performance is highly concentrated: the top 5 of 32 accounts generated over 60% of all positive PnL, meaning sentiment-based patterns are partly driven by a handful of skilled/large traders rather than the full population.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Coin-level behavior diverges sharply — BTC and HYPE were consistently profitable across all sentiment regimes, while smaller/altcoin tickers (e.g. @107) swung from a loss in Extreme Fear to the largest single gain in Extreme Greed, suggesting altcoins amplify sentiment-driven momentum far more than BTC.</w:t>
      </w:r>
    </w:p>
    <w:p>
      <w:pPr>
        <w:pStyle w:val="Heading1"/>
        <w:spacing w:after="140" w:before="280"/>
      </w:pPr>
      <w:r>
        <w:t xml:space="preserve">Datasets &amp; Methodology</w:t>
      </w:r>
    </w:p>
    <w:p>
      <w:pPr>
        <w:spacing w:after="160"/>
      </w:pPr>
      <w:r>
        <w:t xml:space="preserve">Two datasets were merged on calendar date: the Bitcoin Fear/Greed Index (daily sentiment classification, 2018–2025) and Hyperliquid historical trade data (211,224 trades across 32 accounts and 246 tokens, May 2023–May 2025). 99.997% of trades matched to a sentiment reading for their execution date.</w:t>
      </w:r>
    </w:p>
    <w:p>
      <w:pPr>
        <w:spacing w:after="160"/>
      </w:pPr>
      <w:r>
        <w:t xml:space="preserve">"Realized" trades were defined as rows with non-zero Closed PnL (29,808–20,853 trades per sentiment bucket). Win rate is the share of realized trades with positive PnL. "New position" direction (Open Long / Open Short) was used to measure directional bias independent of position-closing activity.</w:t>
      </w:r>
    </w:p>
    <w:p>
      <w:pPr>
        <w:pStyle w:val="Heading1"/>
        <w:spacing w:after="140" w:before="280"/>
      </w:pPr>
      <w:r>
        <w:t xml:space="preserve">Finding 1: Win Rate &amp; PnL by Sentiment</w:t>
      </w:r>
    </w:p>
    <w:p>
      <w:pPr>
        <w:spacing w:after="160"/>
      </w:pPr>
      <w:r>
        <w:t xml:space="preserve">The relationship between sentiment and profitability is not linear. Both extremes of sentiment (Extreme Greed and Fear) produced the strongest results, while the moderate-negative and moderate-positive zones (Extreme Fear, Greed) underperformed: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Sentiment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Trades</w:t>
            </w:r>
          </w:p>
        </w:tc>
        <w:tc>
          <w:tcPr>
            <w:tcW w:type="dxa" w:w="19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Win Rate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Avg PnL/Trade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Total PnL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Extreme Fear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10,406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</w:rPr>
              <w:t xml:space="preserve">76.2%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$71.03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$0.74M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Fear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29,808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</w:rPr>
              <w:t xml:space="preserve">87.3%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$112.63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$3.36M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Neutral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18,159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</w:rPr>
              <w:t xml:space="preserve">82.4%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$71.20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$1.29M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Greed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25,176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</w:rPr>
              <w:t xml:space="preserve">76.9%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$85.40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$2.15M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Extreme Greed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20,853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</w:rPr>
              <w:t xml:space="preserve">89.2%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$130.21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$2.72M</w:t>
            </w:r>
          </w:p>
        </w:tc>
      </w:tr>
    </w:tbl>
    <w:p>
      <w:pPr>
        <w:spacing w:after="200"/>
      </w:pPr>
    </w:p>
    <w:p>
      <w:pPr>
        <w:spacing w:after="200"/>
        <w:jc w:val="center"/>
      </w:pPr>
      <w:r>
        <w:drawing>
          <wp:inline distT="0" distB="0" distL="0" distR="0">
            <wp:extent cx="5715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80"/>
      </w:pPr>
      <w:r>
        <w:t xml:space="preserve">Finding 2: Contrarian Positioning</w:t>
      </w:r>
    </w:p>
    <w:p>
      <w:pPr>
        <w:spacing w:after="160"/>
      </w:pPr>
      <w:r>
        <w:t xml:space="preserve">New long vs. short position openings shift sharply with sentiment, and in the opposite direction from what naive sentiment-following would predict: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Sentiment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% New Positions Long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% New Positions Short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Extreme Fear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68.8%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31.2%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Fear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62.1%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37.9%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Neutral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61.7%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38.3%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Greed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42.3%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57.7%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Extreme Greed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45.1%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54.9%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This cohort is disproportionately long during Fear/Extreme Fear and disproportionately short during Greed/Extreme Greed — classic contrarian, "buy the dip / fade the euphoria" behavior, and it corresponds with some of their best win rates (87–89%).</w:t>
      </w:r>
    </w:p>
    <w:p>
      <w:pPr>
        <w:pStyle w:val="Heading1"/>
        <w:spacing w:after="140" w:before="280"/>
      </w:pPr>
      <w:r>
        <w:t xml:space="preserve">Finding 3: Performance Concentration Across Accounts</w:t>
      </w:r>
    </w:p>
    <w:p>
      <w:pPr>
        <w:spacing w:after="160"/>
      </w:pPr>
      <w:r>
        <w:t xml:space="preserve">Of 32 unique accounts, the top 5 by total realized PnL account for over 60% of all positive PnL generated across the dataset. Several accounts show a strong Extreme-Fear-specific edge (e.g. one account earned $261.9K in Extreme Fear alone with no Extreme Greed activity), while others concentrate gains almost entirely in Extreme Greed (one account earned $478.8K in Extreme Greed vs. $30.8K in Extreme Fear). This suggests distinct trader archetypes: dip-buyers vs. momentum/euphoria traders, rather than one uniform strategy.</w:t>
      </w:r>
    </w:p>
    <w:p>
      <w:pPr>
        <w:pStyle w:val="Heading1"/>
        <w:spacing w:after="140" w:before="280"/>
      </w:pPr>
      <w:r>
        <w:t xml:space="preserve">Finding 4: Coin-Level Sentiment Sensitivity</w:t>
      </w:r>
    </w:p>
    <w:p>
      <w:pPr>
        <w:spacing w:after="160"/>
      </w:pPr>
      <w:r>
        <w:t xml:space="preserve">BTC and HYPE (the two highest-volume tokens) were profitable in every sentiment regime, with BTC's strongest single period being Fear ($482.6K total PnL, 87.6% win rate). By contrast, the token labeled @107 lost $136.1K during Extreme Fear (42.4% win rate — the weakest win rate of any coin/sentiment pair in the dataset) but generated $1.99M during Extreme Greed (92.1% win rate) — the single largest PnL figure of any coin-sentiment combination. Lower-cap tokens appear to amplify sentiment swings far more than BTC.</w:t>
      </w:r>
    </w:p>
    <w:p>
      <w:pPr>
        <w:pStyle w:val="Heading1"/>
        <w:spacing w:after="140" w:before="280"/>
      </w:pPr>
      <w:r>
        <w:t xml:space="preserve">Strategic Implications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The data supports increasing long exposure into Fear/Extreme Fear and trimming or flipping short into Greed/Extreme Greed, consistent with how the most profitable accounts in this dataset already behave.</w:t>
      </w:r>
      <w:r>
        <w:t xml:space="preserve">Fade extremes, don't follow them: 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BTC/HYPE exposure appears more robust across all sentiment states, while smaller-cap tokens carry much higher sentiment-driven variance — appropriate for higher risk tolerance and precise regime-timing rather than passive holding.</w:t>
      </w:r>
      <w:r>
        <w:t xml:space="preserve">Differentiate by asset: 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Average trade size was highest in Fear ($7.8K) and lowest in Extreme Greed ($3.1K) among this cohort, even though Extreme Greed had the best win rate — suggesting risk is already being managed down at euphoric extremes, which a strategy could formalize (smaller size, tighter stops, in Greed/Extreme Greed).</w:t>
      </w:r>
      <w:r>
        <w:t xml:space="preserve">Position sizing should account for regime: 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Because 5 accounts drive most of the profit, any strategy "learned" from this dataset should be validated out-of-sample rather than assumed to generalize to the median trader.</w:t>
      </w:r>
      <w:r>
        <w:t xml:space="preserve">Watch for survivorship/concentration bias: </w:t>
      </w:r>
    </w:p>
    <w:p>
      <w:pPr>
        <w:pStyle w:val="Heading1"/>
        <w:spacing w:after="140" w:before="280"/>
      </w:pPr>
      <w:r>
        <w:t xml:space="preserve">Limitations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Only 32 unique accounts are represented — not a large or necessarily representative trader sample.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explicit leverage column was present in the trade data despite being mentioned in the brief; leverage effects could not be directly analyzed.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Fear/Greed Index is a market-wide (BTC-driven) sentiment measure, applied here to trading activity across 246 different tokens, some with low correlation to BTC sentiment.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941ae5c0f41de6177b0ef93ce398b6f81625b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2026-07-04T12:36:09.355Z</dcterms:created>
  <dcterms:modified xsi:type="dcterms:W3CDTF">2026-07-04T12:36:09.355Z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