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864"/>
          <w:sz w:val="60"/>
          <w:szCs w:val="60"/>
        </w:rPr>
        <w:t xml:space="preserve">TensionBudget</w:t>
      </w:r>
    </w:p>
    <w:p>
      <w:pPr>
        <w:spacing w:after="0" w:before="120"/>
        <w:jc w:val="center"/>
      </w:pPr>
      <w:r>
        <w:rPr>
          <w:b/>
          <w:bCs/>
          <w:color w:val="2F5496"/>
          <w:sz w:val="34"/>
          <w:szCs w:val="34"/>
        </w:rPr>
        <w:t xml:space="preserve">Dataset Description &amp; Feature Dictionary</w:t>
      </w:r>
    </w:p>
    <w:p>
      <w:pPr>
        <w:pBdr>
          <w:bottom w:val="single" w:color="2F5496" w:sz="8" w:space="10"/>
        </w:pBdr>
        <w:spacing w:after="0" w:before="26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400"/>
        <w:jc w:val="center"/>
      </w:pPr>
      <w:r>
        <w:rPr>
          <w:i/>
          <w:iCs/>
          <w:color w:val="595959"/>
          <w:sz w:val="24"/>
          <w:szCs w:val="24"/>
        </w:rPr>
        <w:t xml:space="preserve">Bilateral Upper-Trapezius Ergonomic Surveillance Study</w:t>
      </w:r>
    </w:p>
    <w:p>
      <w:pPr>
        <w:spacing w:after="0" w:before="1400"/>
        <w:jc w:val="center"/>
      </w:pPr>
      <w:r>
        <w:rPr>
          <w:sz w:val="20"/>
          <w:szCs w:val="20"/>
        </w:rPr>
        <w:t xml:space="preserve">Document version: Phase 13 / W7  (2026-08-05)</w:t>
      </w:r>
    </w:p>
    <w:p>
      <w:pPr>
        <w:spacing w:after="0" w:before="900"/>
        <w:jc w:val="center"/>
      </w:pPr>
      <w:r>
        <w:rPr>
          <w:color w:val="595959"/>
          <w:sz w:val="19"/>
          <w:szCs w:val="19"/>
        </w:rPr>
        <w:t xml:space="preserve">Prepared for academic presentation, ethics review, and machine-learning pipeline documentation.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400"/>
      </w:pPr>
      <w:r>
        <w:t xml:space="preserve">1. Study Overview &amp; Data Collection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Study name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TensionBudget — Real-Time Bilateral Trapezius Ergonomic Surveillance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Study type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Repeated-measures, longitudinal, observational pilot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Population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 adults performing computer / desk-based work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Measurement modality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Surface electromyography (sEMG), bilateral upper trapezius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Self-report modality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Borg CR-10 perceived muscular strain ratings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t xml:space="preserve">What is being measured, and why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upper trapezius muscle is the primary site of work-related neck and shoulder pain — the most prevalent musculoskeletal disorder in office workers globally (prevalence 15–35%, Hoy et al. 2010). Unlike wrist or back injuries that are often acute, trapezius disorders develop through cumulative low-level activation that never fully relaxes, overloading a specific population of slow-twitch (Type I) motor units — the “Cinderella hypothesis” (Hägg 1991). Standard clinical observation cannot detect this mechanism; continuous sEMG quantification is required.</w:t>
      </w:r>
    </w:p>
    <w:p>
      <w:pPr>
        <w:pStyle w:val="Heading3"/>
        <w:spacing w:after="100" w:before="220"/>
      </w:pPr>
      <w:r>
        <w:t xml:space="preserve">What the dataset enables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38-column feature vector logged every 5 minutes, paired with concurrent Borg CR-10 subjective strain ratings, creates a supervised longitudinal time-series dataset for: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Bayesian hierarchical regression of subjective muscular strain from physiological biomarkers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Fatigue onset prediction (from spectral MDF decline)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Subject-specific ergonomic threshold personalisation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Real-time intervention timing (when to alert, when to recommend breaks)</w:t>
      </w:r>
    </w:p>
    <w:p>
      <w:pPr>
        <w:pStyle w:val="Heading1"/>
        <w:spacing w:after="180" w:before="400"/>
      </w:pPr>
      <w:r>
        <w:t xml:space="preserve">2. Database Architecture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dataset is organised as a 3-tier privacy-segregated relational hierarchy, implemented as SQLite locally (per device) and PostgreSQL on the cloud (Supabase).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C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user_profiles  —  1 row per subject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PK: user_name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Demographics, body measurements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2F5496"/>
          <w:sz w:val="20"/>
          <w:szCs w:val="20"/>
        </w:rPr>
        <w:t xml:space="preserve">▼   1 : many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C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sessions  —  1 row per work recording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PK: session_id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Timestamps, calibration baselines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2F5496"/>
          <w:sz w:val="20"/>
          <w:szCs w:val="20"/>
        </w:rPr>
        <w:t xml:space="preserve">▼   1 : many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C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epoch_features  —  1 row per 5 minutes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PK: feature_id   |   UNIQUE: (session_id, epoch_index)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38-column physiological feature vector + ground-truth Borg CR-10 label y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ML view: v_ml_training_pairs performs a 3-table JOIN to produce a flat training matrix combining subject demographics, session calibration baselines, and per-epoch feature vectors in a single query.</w:t>
      </w:r>
    </w:p>
    <w:p>
      <w:pPr>
        <w:pStyle w:val="Heading1"/>
        <w:spacing w:after="180" w:before="400"/>
      </w:pPr>
      <w:r>
        <w:t xml:space="preserve">3. Table 1 — user_profiles (Subject Demographic Vault)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Granularity: one row per research subject, updated at profile creation or subject data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2"/>
              <w:left w:val="single" w:color="2F5496" w:sz="18"/>
              <w:bottom w:val="single" w:color="2F5496" w:sz="2"/>
              <w:right w:val="single" w:color="2F5496" w:sz="2"/>
            </w:tcBorders>
            <w:shd w:fill="DCE6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Privacy principle</w:t>
            </w:r>
          </w:p>
          <w:p>
            <w:r>
              <w:rPr>
                <w:sz w:val="19"/>
                <w:szCs w:val="19"/>
              </w:rPr>
              <w:t xml:space="preserve">This table stores identifying demographic information. Research tables (sessions, epoch_features) reference only the anonymised user_name bridge key — they contain no names, emails, or directly re-identifiable data.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user_name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Anonymised subject identifier (bridge key). All downstream research tables join to this field only. May be a pseudonym, initials, or assigned ID code.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Date of birth (YYYY-MM-DD). Stored as text to avoid timezone ambiguity. Used to compute age at time of session dynamically — never stored as a pre-computed age, to remain accurate over longitudinal multi-year studies.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gender_sex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Self-reported biological sex / gender (“M”, “F”, “Other”, “Unspecified”). Used as a covariate in Bayesian hierarchical models — Koch et al. (2025) found sex to be a significant moderator of short-SUMA frequency effects on pain.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weight_kg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Body mass in kilograms. Used to compute BMI dynamically (see formula below). May be a relevant confounder for shoulder load in standing vs. seated postures.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height_cm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Standing height in centimetres. Combined with weight_kg for BMI calculation.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Unix timestamp (seconds since epoch) of the last profile update. Enables tracking if subject measurements change during a longitudinal study.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PBKDF2-HMAC-SHA256 derived hash with random per-subject salt. Prevents unauthorised subjects from submitting data under another subject's identifier during multi-user cloud sessions. Never stored in plaintext.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created_via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DEFAULT 'desktop_registration'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Registration pathway: 'desktop_registration' (GUI app) or 'web_registration' (browser app). Useful for identifying systematic differences between web and desktop cohorts.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EE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BMI  =  </w:t>
            </w:r>
            <w:r>
              <w:rPr>
                <w:i/>
                <w:iCs/>
                <w:sz w:val="22"/>
                <w:szCs w:val="22"/>
              </w:rPr>
              <w:t xml:space="preserve">weight_kg</w:t>
            </w:r>
            <w:r>
              <w:rPr>
                <w:sz w:val="22"/>
                <w:szCs w:val="22"/>
              </w:rPr>
              <w:t xml:space="preserve">  ÷  (</w:t>
            </w:r>
            <w:r>
              <w:rPr>
                <w:i/>
                <w:iCs/>
                <w:sz w:val="22"/>
                <w:szCs w:val="22"/>
              </w:rPr>
              <w:t xml:space="preserve">height_cm</w:t>
            </w:r>
            <w:r>
              <w:rPr>
                <w:sz w:val="22"/>
                <w:szCs w:val="22"/>
              </w:rPr>
              <w:t xml:space="preserve">  ÷  100)</w:t>
            </w:r>
            <w:r>
              <w:rPr>
                <w:sz w:val="14"/>
                <w:szCs w:val="14"/>
                <w:vertAlign w:val="superscript"/>
              </w:rPr>
              <w:t xml:space="preserve">2</w:t>
            </w:r>
          </w:p>
          <w:p>
            <w:pPr>
              <w:spacing w:before="9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Body Mass Index — computed at query time from weight_kg and height_cm, never stored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t xml:space="preserve">Derived fields (computed at query time, not stored)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Derived field</w:t>
            </w:r>
          </w:p>
        </w:tc>
        <w:tc>
          <w:tcPr>
            <w:tcW w:type="dxa" w:w="3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Age at session</w:t>
            </w:r>
          </w:p>
        </w:tc>
        <w:tc>
          <w:tcPr>
            <w:tcW w:type="dxa" w:w="3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session.start_date − user_profiles.birth_date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Covariate in age-stratified ergonomic models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BMI</w:t>
            </w:r>
          </w:p>
        </w:tc>
        <w:tc>
          <w:tcPr>
            <w:tcW w:type="dxa" w:w="3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weight_kg ÷ (height_cm ÷ 100)²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Body composition covariate</w:t>
            </w:r>
          </w:p>
        </w:tc>
      </w:tr>
    </w:tbl>
    <w:p>
      <w:pPr>
        <w:pStyle w:val="Heading1"/>
        <w:spacing w:after="180" w:before="400"/>
      </w:pPr>
      <w:r>
        <w:t xml:space="preserve">4. Table 2 — sessions (Work Session Manifest)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Granularity: one row per contiguous recording session (one press of Start → Stop). Provides the temporal anchor and signal processing provenance for all epoch-level data — every epoch inherits its calibration context from the parent session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1900"/>
        <w:gridCol w:w="4560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Universally unique ID for the recording session. Format: &lt;user_name&gt;_&lt;YYYYMMDD&gt;_&lt;HHMMSS&gt; (e.g. Mohit_K_20260804_130742). Foreign key joining session manifests to all epoch rows.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user_name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FK → user_profiles, NOT NULL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Links the session to the subject who performed it.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 start time as Unix timestamp (float seconds). Preserves sub-second precision; timezone-independent.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start_time_str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Human-readable ISO 8601 start time. Convenience field for CSV export / human review; not used quantitatively.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end_time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 end time as Unix timestamp. Computed on end_session(); NULL for sessions terminated abnormally (e.g. crash).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end_time_str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Human-readable end time string. Same purpose as start_time_str.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Acquisition mode: “live_lsl” (real-time Lab Streaming Layer), “replay” (offline CSV replay), or “web” (browser WebAssembly path). Used to stratify analyses by acquisition path.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calibration_rms_left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RMS amplitude (ADC units) of the left trapezius during the 5-second maximal shrug calibration. Denominator for left-channel %RVE normalisation. NULL = uncalibrated session.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calibration_rms_right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as above for the right trapezius. Each channel has its own independent calibration baseline.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processing_version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Signal processing pipeline version tag: “phase11_edge_padding” (current) or “legacy_constant_padding” (historical). Must be included as a covariate when training on mixed-version data.</w:t>
            </w:r>
          </w:p>
        </w:tc>
      </w:tr>
    </w:tbl>
    <w:p>
      <w:pPr>
        <w:pStyle w:val="Heading1"/>
        <w:spacing w:after="180" w:before="400"/>
      </w:pPr>
      <w:r>
        <w:t xml:space="preserve">5. Table 3 — epoch_features (Primary Research Dataset)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Granularity: one row per completed 5-minute work epoch, per session. This is the primary unit of analysis for all machine-learning experiments.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Each row represents a 5-minute window of bilateral trapezius sEMG (150,000 samples × 2 channels = 300,000 raw measurements), compressed into 36 physiological features + 2 subjective label fields = 38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2"/>
              <w:left w:val="single" w:color="2F5496" w:sz="18"/>
              <w:bottom w:val="single" w:color="2F5496" w:sz="2"/>
              <w:right w:val="single" w:color="2F5496" w:sz="2"/>
            </w:tcBorders>
            <w:shd w:fill="DCE6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Unique constraint</w:t>
            </w:r>
          </w:p>
          <w:p>
            <w:r>
              <w:rPr>
                <w:sz w:val="19"/>
                <w:szCs w:val="19"/>
              </w:rPr>
              <w:t xml:space="preserve">(session_id, epoch_index) — idempotent: re-uploading the same epoch overwrites rather than duplicates.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t xml:space="preserve">5.1 Row Identifiers &amp; Time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900"/>
        <w:gridCol w:w="17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feature_id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 2, 3, …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Auto-incrementing primary key. No scientific meaning; used only for internal row referencing.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Foreign key linking to sessions. Every epoch belongs to exactly one session and inherits its calibration and subject identity.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epoch_index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 1, 2, …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Sequential 0-based window counter within the session (epoch 0 = first 5 min, epoch 1 = minutes 5–10, …). Also the join key to the raw telemetry file.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elapsed_minutes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minutes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0.0, 5.0, 10.0, …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Wall-clock elapsed time from session start to the end of this epoch (epoch_index × 5.0). Time axis for within-session trend analysis.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t xml:space="preserve">5.2 Composite Ergonomic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900"/>
        <w:gridCol w:w="12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composite_score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dimensionless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[0.0, 3.0]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primary real-time ergonomic health indicator. Fuses bilateral amplitude exposure, short-event frequency risk, and postural asymmetry into a single scalar that drives live alerting. Computed via: (1) worst-side-drives bilateral fusion, (2) asymmetry penalty subtraction, (3) floor clamp at 0. Never NULL (defaults to 0.0). Higher = more hazardous loading.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7"/>
          <w:szCs w:val="17"/>
        </w:rPr>
        <w:t xml:space="preserve">Never NULL — defaults to 0.0 when uncomputed.</w:t>
      </w:r>
    </w:p>
    <w:p>
      <w:pPr>
        <w:pStyle w:val="Heading3"/>
        <w:spacing w:after="100" w:before="220"/>
      </w:pPr>
      <w:r>
        <w:t xml:space="preserve">Score interpretation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Suggested action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 – 0.5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Minimal load — adequate recovery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 – 1.0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 ergonomic risk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 – 1.8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Moderate load — some sustained activation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Prompt micro-break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 – 2.5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 load — inadequate recovery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Alert + recommend posture correction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 – 3.0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Severe exposure — fatigue risk elevated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Urgent intervention</w:t>
            </w:r>
          </w:p>
        </w:tc>
      </w:tr>
    </w:tbl>
    <w:p>
      <w:pPr>
        <w:pStyle w:val="Heading2"/>
        <w:spacing w:after="140" w:before="300"/>
      </w:pPr>
      <w:r>
        <w:t xml:space="preserve">5.3 Exposure Index — Amplitude-Domain Load (per side)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These four columns implement the Koch et al. (2024) Exposure Index (EIndex) formula, tracking what fraction of each 5-minute epoch was spent in rest, low, and high muscular activation zones.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EE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EI  =  −2 × P</w:t>
            </w:r>
            <w:r>
              <w:rPr>
                <w:b/>
                <w:bCs/>
                <w:sz w:val="14"/>
                <w:szCs w:val="14"/>
                <w:vertAlign w:val="subscript"/>
              </w:rPr>
              <w:t xml:space="preserve">rest</w:t>
            </w:r>
            <w:r>
              <w:rPr>
                <w:b/>
                <w:bCs/>
                <w:sz w:val="22"/>
                <w:szCs w:val="22"/>
              </w:rPr>
              <w:t xml:space="preserve">  +  P</w:t>
            </w:r>
            <w:r>
              <w:rPr>
                <w:b/>
                <w:bCs/>
                <w:sz w:val="14"/>
                <w:szCs w:val="14"/>
                <w:vertAlign w:val="subscript"/>
              </w:rPr>
              <w:t xml:space="preserve">low</w:t>
            </w:r>
            <w:r>
              <w:rPr>
                <w:b/>
                <w:bCs/>
                <w:sz w:val="22"/>
                <w:szCs w:val="22"/>
              </w:rPr>
              <w:t xml:space="preserve">  +  2 × P</w:t>
            </w:r>
            <w:r>
              <w:rPr>
                <w:b/>
                <w:bCs/>
                <w:sz w:val="14"/>
                <w:szCs w:val="14"/>
                <w:vertAlign w:val="subscript"/>
              </w:rPr>
              <w:t xml:space="preserve">high</w:t>
            </w:r>
          </w:p>
          <w:p>
            <w:pPr>
              <w:spacing w:before="9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P(rest), P(low), P(high) = proportion of RMS samples below 0.5%, between 0.5–7.0%, and above 7.0% MVE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1900"/>
        <w:gridCol w:w="4460"/>
      </w:tblGrid>
      <w:tr>
        <w:trPr>
          <w:tblHeader/>
        </w:trP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eindex_live_left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[−2.0, +2.0]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Left trapezius EIndex computed on the current sliding 10-minute RMS window, refreshed every 2 s. Drives the real-time composite score. −2.0 = fully resting; +2.0 = high-load throughout. Never NULL.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eindex_live_right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[−2.0, +2.0]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metric for the right trapezius. The two sides are processed with zero cross-channel mixing. Never NULL.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eindex_cumulative_left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unbounded (monotonic)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Session-level cumulative EIndex for the left trapezius, incremented once per completed discrete 10-minute boundary (never on overlapping windows). Used for STAMI population-reference comparison only — never drives the real-time composite.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eindex_cumulative_right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unbounded (monotonic)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for the right trapezius.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2"/>
              <w:left w:val="single" w:color="2F5496" w:sz="18"/>
              <w:bottom w:val="single" w:color="2F5496" w:sz="2"/>
              <w:right w:val="single" w:color="2F5496" w:sz="2"/>
            </w:tcBorders>
            <w:shd w:fill="DCE6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Why two EIndex variants?</w:t>
            </w:r>
          </w:p>
          <w:p>
            <w:r>
              <w:rPr>
                <w:sz w:val="19"/>
                <w:szCs w:val="19"/>
              </w:rPr>
              <w:t xml:space="preserve">A single summed EIndex on a sliding window would double-count: a moderate 10-minute activity period would be counted hundreds of times across overlapping 2-second refresh cycles, diverging to ~5,760 over an 8-hour session. The live/cumulative split ensures each moment of activity is counted exactly once per metric.</w:t>
            </w:r>
          </w:p>
        </w:tc>
      </w:tr>
    </w:tbl>
    <w:p>
      <w:pPr>
        <w:pStyle w:val="Heading2"/>
        <w:spacing w:after="140" w:before="300"/>
      </w:pPr>
      <w:r>
        <w:t xml:space="preserve">5.4 Short-SUMA Frequency Penalty (per side)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Quantifies the frequency of short-duration sustained muscle activity events — validated by Koch et al. (2025) as a stronger predictor of neck/shoulder pain than total SUMA duration.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6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short_suma_penalty_left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[0.0, 1.0]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Left trapezius short-event frequency penalty. Counts SUMA events in the 1.5–5 s and 5–10 s duration bins within the current 10-minute window, then applies the penalty formula below. Computed per-window — never accumulated across epochs.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short_suma_penalty_right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[0.0, 1.0]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for the right trapezius.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EE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δ  =  min ( N</w:t>
            </w:r>
            <w:r>
              <w:rPr>
                <w:b/>
                <w:bCs/>
                <w:sz w:val="14"/>
                <w:szCs w:val="14"/>
                <w:vertAlign w:val="subscript"/>
              </w:rPr>
              <w:t xml:space="preserve">short</w:t>
            </w:r>
            <w:r>
              <w:rPr>
                <w:b/>
                <w:bCs/>
                <w:sz w:val="22"/>
                <w:szCs w:val="22"/>
              </w:rPr>
              <w:t xml:space="preserve"> × 0.1 ,  1.0 )</w:t>
            </w:r>
          </w:p>
          <w:p>
            <w:pPr>
              <w:spacing w:before="9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Each short event contributes 0.1 penalty points; 10 or more events saturates the penalty at 1.0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0 short events → penalty = 0.0  (no fragmented activation)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3 short events → penalty = 0.3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10 short events → penalty = 1.0  (saturated — maximum fragmentation risk)</w:t>
      </w:r>
    </w:p>
    <w:p>
      <w:pPr>
        <w:pStyle w:val="Heading2"/>
        <w:spacing w:after="140" w:before="300"/>
      </w:pPr>
      <w:r>
        <w:t xml:space="preserve">5.5 Sustained Activity Burst Count (per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6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total_suma_bursts_left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≥ 0 (count)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number of SUMA events detected in the left trapezius during the epoch, across all duration bins (1.5 s to &gt; 20 min). A SUMA event is any contiguous period where %RVE &gt; 0.5% lasting at least 1.5 s. Higher counts = more fragmented, less continuous activation.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total_suma_bursts_right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≥ 0 (count)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for the right trapezius.</w:t>
            </w:r>
          </w:p>
        </w:tc>
      </w:tr>
    </w:tbl>
    <w:p>
      <w:pPr>
        <w:pStyle w:val="Heading2"/>
        <w:spacing w:after="140" w:before="300"/>
      </w:pPr>
      <w:r>
        <w:t xml:space="preserve">5.6 Micro-Rest Frequency (per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200"/>
        <w:gridCol w:w="5060"/>
      </w:tblGrid>
      <w:tr>
        <w:trPr>
          <w:tblHeader/>
        </w:trP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5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gap_frequency_left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gaps/min</w:t>
            </w:r>
          </w:p>
        </w:tc>
        <w:tc>
          <w:tcPr>
            <w:tcW w:type="dxa" w:w="5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Micro-rest frequency for the left trapezius. A gap is any period where %RVE &lt; 3.0% lasting at least 0.125 s — complete muscular relaxation. The primary physiological recovery indicator. In occupational ergonomics, values below ~4 gaps/minute are associated with elevated shoulder-pain risk (Veiersted 1994). Never NULL.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gap_frequency_right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gaps/min</w:t>
            </w:r>
          </w:p>
        </w:tc>
        <w:tc>
          <w:tcPr>
            <w:tcW w:type="dxa" w:w="5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for the right trapezius.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2"/>
              <w:left w:val="single" w:color="2F5496" w:sz="18"/>
              <w:bottom w:val="single" w:color="2F5496" w:sz="2"/>
              <w:right w:val="single" w:color="2F5496" w:sz="2"/>
            </w:tcBorders>
            <w:shd w:fill="DCE6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Biological significance</w:t>
            </w:r>
          </w:p>
          <w:p>
            <w:r>
              <w:rPr>
                <w:sz w:val="19"/>
                <w:szCs w:val="19"/>
              </w:rPr>
              <w:t xml:space="preserve">The Cinderella motor units (lowest-threshold, first recruited) are only de-loaded when %RVE drops below the 3% gap threshold. Without adequate micro-rests, these units fire continuously throughout the workday, accumulating metabolic waste and leading to chronic myalgia even at sub-threshold force levels.</w:t>
            </w:r>
          </w:p>
        </w:tc>
      </w:tr>
    </w:tbl>
    <w:p>
      <w:pPr>
        <w:pStyle w:val="Heading2"/>
        <w:spacing w:after="140" w:before="300"/>
      </w:pPr>
      <w:r>
        <w:t xml:space="preserve">5.7 APDF Amplitude Distribution Percentiles (per side)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Amplitude Probability Distribution Function (Jonsson 1978, 1982) characterises the statistical shape of the muscular load distribution during the epoch — what amplitude level was exceeded X% of the time. Each percentile is computed on Active APDF samples only (RMS frames where %RVE ≥ 3.0%), excluding rest periods.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700"/>
        <w:gridCol w:w="4960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Missingness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apdf_10_left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RVE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 if fully resting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Left 10th percentile (static load level) — the amplitude exceeded 90% of the time during active work. Residual tonic activation: the load the muscle never drops below. High P10 = constant postural tension even in “relaxed” postures.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apdf_50_left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RVE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 if fully resting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Left 50th percentile (median load) — the typical working amplitude. Most representative single number for habitual activation; used as input to the asymmetry index.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apdf_90_left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RVE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 if fully resting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Left 90th percentile (peak load level) — the amplitude exceeded only 10% of the time. Marker of peak-load exposure and acute overload risk.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apdf_10_right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RVE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 if fully resting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as apdf_10_left for the right trapezius.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apdf_50_right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RVE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 if fully resting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as apdf_50_left for the right trapezius.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apdf_90_right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RVE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 if fully resting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as apdf_90_left for the right trapezius.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t xml:space="preserve">APDF interpretation (Jonsson 1982 criteria)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Percentile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Clinical implication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APDF₁₀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&lt; 1% RVE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Adequate rest (static load acceptable)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APDF₁₀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≥ 2–5% RVE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Elevated static load risk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APDF₅₀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&gt; 10–14% RVE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 median exposure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APDF₉₀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&gt; 20–50% RVE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 peak load — acute injury risk</w:t>
            </w:r>
          </w:p>
        </w:tc>
      </w:tr>
    </w:tbl>
    <w:p>
      <w:pPr>
        <w:pStyle w:val="Heading2"/>
        <w:spacing w:after="140" w:before="300"/>
      </w:pPr>
      <w:r>
        <w:t xml:space="preserve">5.8 Bilateral Asymmetry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300"/>
        <w:gridCol w:w="17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Missingness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asymmetry_index_ai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[−1.0, +1.0]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 if either side fully resting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Signed laterality index (formula below). Negative = left-dominant loading; positive = right-dominant; 0.0 = perfect bilateral symmetry. An independent musculoskeletal risk factor — asymmetric loads generate uneven spinal torques and differential motor-unit fatigue between sides (Madeleine et al. 2008).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asymmetry_penalty_applied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 (bool)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{0, 1}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 NULL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Whether the 0.25-point asymmetry penalty was subtracted from the composite score. 1 = applied (|AI| &gt; 0.5); 0 = not applied. Gives full explainability of composite score composition.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EE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AI  =  ( </w:t>
            </w:r>
            <w:r>
              <w:rPr>
                <w:i/>
                <w:iCs/>
                <w:sz w:val="22"/>
                <w:szCs w:val="22"/>
              </w:rPr>
              <w:t xml:space="preserve">APDF</w:t>
            </w:r>
            <w:r>
              <w:rPr>
                <w:sz w:val="14"/>
                <w:szCs w:val="14"/>
                <w:vertAlign w:val="superscript"/>
              </w:rPr>
              <w:t xml:space="preserve">active</w:t>
            </w:r>
            <w:r>
              <w:rPr>
                <w:sz w:val="14"/>
                <w:szCs w:val="14"/>
                <w:vertAlign w:val="subscript"/>
              </w:rPr>
              <w:t xml:space="preserve">50,R</w:t>
            </w:r>
            <w:r>
              <w:rPr>
                <w:sz w:val="22"/>
                <w:szCs w:val="22"/>
              </w:rPr>
              <w:t xml:space="preserve">  −  </w:t>
            </w:r>
            <w:r>
              <w:rPr>
                <w:i/>
                <w:iCs/>
                <w:sz w:val="22"/>
                <w:szCs w:val="22"/>
              </w:rPr>
              <w:t xml:space="preserve">APDF</w:t>
            </w:r>
            <w:r>
              <w:rPr>
                <w:sz w:val="14"/>
                <w:szCs w:val="14"/>
                <w:vertAlign w:val="superscript"/>
              </w:rPr>
              <w:t xml:space="preserve">active</w:t>
            </w:r>
            <w:r>
              <w:rPr>
                <w:sz w:val="14"/>
                <w:szCs w:val="14"/>
                <w:vertAlign w:val="subscript"/>
              </w:rPr>
              <w:t xml:space="preserve">50,L</w:t>
            </w:r>
            <w:r>
              <w:rPr>
                <w:sz w:val="22"/>
                <w:szCs w:val="22"/>
              </w:rPr>
              <w:t xml:space="preserve"> )</w:t>
            </w:r>
            <w:r>
              <w:rPr>
                <w:b/>
                <w:bCs/>
                <w:sz w:val="22"/>
                <w:szCs w:val="22"/>
              </w:rPr>
              <w:t xml:space="preserve">  ÷  ( </w:t>
            </w:r>
            <w:r>
              <w:rPr>
                <w:i/>
                <w:iCs/>
                <w:sz w:val="22"/>
                <w:szCs w:val="22"/>
              </w:rPr>
              <w:t xml:space="preserve">APDF</w:t>
            </w:r>
            <w:r>
              <w:rPr>
                <w:sz w:val="14"/>
                <w:szCs w:val="14"/>
                <w:vertAlign w:val="superscript"/>
              </w:rPr>
              <w:t xml:space="preserve">active</w:t>
            </w:r>
            <w:r>
              <w:rPr>
                <w:sz w:val="14"/>
                <w:szCs w:val="14"/>
                <w:vertAlign w:val="subscript"/>
              </w:rPr>
              <w:t xml:space="preserve">50,R</w:t>
            </w:r>
            <w:r>
              <w:rPr>
                <w:sz w:val="22"/>
                <w:szCs w:val="22"/>
              </w:rPr>
              <w:t xml:space="preserve">  +  </w:t>
            </w:r>
            <w:r>
              <w:rPr>
                <w:i/>
                <w:iCs/>
                <w:sz w:val="22"/>
                <w:szCs w:val="22"/>
              </w:rPr>
              <w:t xml:space="preserve">APDF</w:t>
            </w:r>
            <w:r>
              <w:rPr>
                <w:sz w:val="14"/>
                <w:szCs w:val="14"/>
                <w:vertAlign w:val="superscript"/>
              </w:rPr>
              <w:t xml:space="preserve">active</w:t>
            </w:r>
            <w:r>
              <w:rPr>
                <w:sz w:val="14"/>
                <w:szCs w:val="14"/>
                <w:vertAlign w:val="subscript"/>
              </w:rPr>
              <w:t xml:space="preserve">50,L</w:t>
            </w:r>
            <w:r>
              <w:rPr>
                <w:sz w:val="22"/>
                <w:szCs w:val="22"/>
              </w:rPr>
              <w:t xml:space="preserve"> )</w:t>
            </w:r>
          </w:p>
          <w:p>
            <w:pPr>
              <w:spacing w:before="9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APDF₅₀ = active-epoch median amplitude percentile; R = right side, L = left side</w:t>
            </w:r>
          </w:p>
        </w:tc>
      </w:tr>
    </w:tbl>
    <w:p>
      <w:pPr>
        <w:pStyle w:val="Heading2"/>
        <w:spacing w:after="140" w:before="300"/>
      </w:pPr>
      <w:r>
        <w:t xml:space="preserve">5.9 Spectral Fatigue Indicators (per side)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Quantify muscle fatigue via the frequency-domain signature of the sEMG signal. As trapezius fatigue develops, action-potential conduction velocity decreases and motor-unit firing rates slow, shifting spectral power toward lower frequencies. Median Power Frequency (MDF) is the gold-standard spectral fatigue indicator (De Luca 1997; Farina 2002).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2"/>
              <w:left w:val="single" w:color="2F5496" w:sz="18"/>
              <w:bottom w:val="single" w:color="2F5496" w:sz="2"/>
              <w:right w:val="single" w:color="2F5496" w:sz="2"/>
            </w:tcBorders>
            <w:shd w:fill="DCE6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Critical caveat — embedded in every output record</w:t>
            </w:r>
          </w:p>
          <w:p>
            <w:r>
              <w:rPr>
                <w:sz w:val="19"/>
                <w:szCs w:val="19"/>
              </w:rPr>
              <w:t xml:space="preserve">All spectral analysis uses the 20–240 Hz passband (hardware-constrained at 500 Hz sampling). The published De Luca/Farina standard uses 20–450 Hz (requires ≥ 1000 Hz sampling). Absolute MDF/MNF values are therefore systematically lower than published population norms. All spectral features must be interpreted as internal session-trend indicators only, never compared against published absolute baselines.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t xml:space="preserve">Median &amp; Mean Power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EE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∫</w:t>
            </w:r>
            <w:r>
              <w:rPr>
                <w:sz w:val="14"/>
                <w:szCs w:val="14"/>
                <w:vertAlign w:val="subscript"/>
              </w:rPr>
              <w:t xml:space="preserve">20</w:t>
            </w:r>
            <w:r>
              <w:rPr>
                <w:sz w:val="14"/>
                <w:szCs w:val="14"/>
                <w:vertAlign w:val="superscript"/>
              </w:rPr>
              <w:t xml:space="preserve">MDF</w:t>
            </w:r>
            <w:r>
              <w:rPr>
                <w:sz w:val="22"/>
                <w:szCs w:val="22"/>
              </w:rPr>
              <w:t xml:space="preserve"> S(f) df   =   </w:t>
            </w:r>
            <w:r>
              <w:rPr>
                <w:sz w:val="30"/>
                <w:szCs w:val="30"/>
              </w:rPr>
              <w:t xml:space="preserve">∫</w:t>
            </w:r>
            <w:r>
              <w:rPr>
                <w:sz w:val="14"/>
                <w:szCs w:val="14"/>
                <w:vertAlign w:val="subscript"/>
              </w:rPr>
              <w:t xml:space="preserve">MDF</w:t>
            </w:r>
            <w:r>
              <w:rPr>
                <w:sz w:val="14"/>
                <w:szCs w:val="14"/>
                <w:vertAlign w:val="superscript"/>
              </w:rPr>
              <w:t xml:space="preserve">240</w:t>
            </w:r>
            <w:r>
              <w:rPr>
                <w:sz w:val="22"/>
                <w:szCs w:val="22"/>
              </w:rPr>
              <w:t xml:space="preserve"> S(f) df</w:t>
            </w:r>
          </w:p>
          <w:p>
            <w:pPr>
              <w:spacing w:before="9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MDF splits the Welch power spectral density into two equal-power halves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EE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MNF  =  </w:t>
            </w:r>
            <w:r>
              <w:rPr>
                <w:sz w:val="26"/>
                <w:szCs w:val="26"/>
              </w:rPr>
              <w:t xml:space="preserve">Σ</w:t>
            </w:r>
            <w:r>
              <w:rPr>
                <w:sz w:val="14"/>
                <w:szCs w:val="14"/>
                <w:vertAlign w:val="subscript"/>
              </w:rPr>
              <w:t xml:space="preserve">j</w:t>
            </w:r>
            <w:r>
              <w:rPr>
                <w:i/>
                <w:iCs/>
                <w:sz w:val="22"/>
                <w:szCs w:val="22"/>
              </w:rPr>
              <w:t xml:space="preserve"> f</w:t>
            </w:r>
            <w:r>
              <w:rPr>
                <w:sz w:val="14"/>
                <w:szCs w:val="14"/>
                <w:vertAlign w:val="subscript"/>
              </w:rPr>
              <w:t xml:space="preserve">j</w:t>
            </w:r>
            <w:r>
              <w:rPr>
                <w:sz w:val="22"/>
                <w:szCs w:val="22"/>
              </w:rPr>
              <w:t xml:space="preserve"> × S(f</w:t>
            </w:r>
            <w:r>
              <w:rPr>
                <w:sz w:val="14"/>
                <w:szCs w:val="14"/>
                <w:vertAlign w:val="subscript"/>
              </w:rPr>
              <w:t xml:space="preserve">j</w:t>
            </w:r>
            <w:r>
              <w:rPr>
                <w:sz w:val="22"/>
                <w:szCs w:val="22"/>
              </w:rPr>
              <w:t xml:space="preserve">)</w:t>
            </w:r>
            <w:r>
              <w:rPr>
                <w:sz w:val="22"/>
                <w:szCs w:val="22"/>
              </w:rPr>
              <w:t xml:space="preserve">   ÷   </w:t>
            </w:r>
            <w:r>
              <w:rPr>
                <w:sz w:val="26"/>
                <w:szCs w:val="26"/>
              </w:rPr>
              <w:t xml:space="preserve">Σ</w:t>
            </w:r>
            <w:r>
              <w:rPr>
                <w:sz w:val="14"/>
                <w:szCs w:val="14"/>
                <w:vertAlign w:val="subscript"/>
              </w:rPr>
              <w:t xml:space="preserve">j</w:t>
            </w:r>
            <w:r>
              <w:rPr>
                <w:sz w:val="22"/>
                <w:szCs w:val="22"/>
              </w:rPr>
              <w:t xml:space="preserve"> S(f</w:t>
            </w:r>
            <w:r>
              <w:rPr>
                <w:sz w:val="14"/>
                <w:szCs w:val="14"/>
                <w:vertAlign w:val="subscript"/>
              </w:rPr>
              <w:t xml:space="preserve">j</w:t>
            </w:r>
            <w:r>
              <w:rPr>
                <w:sz w:val="22"/>
                <w:szCs w:val="22"/>
              </w:rPr>
              <w:t xml:space="preserve">)</w:t>
            </w:r>
          </w:p>
          <w:p>
            <w:pPr>
              <w:spacing w:before="9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MNF — power-weighted spectral centroid; more sensitive to high-frequency content and noise than MDF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mdf_hz_left / right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Hz  [20–240]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Median Power Frequency. Computed from the pre-rectification bandpass-filtered signal using Welch's method (1 s windows, 50% overlap, Hanning taper). A downward trend across epochs signals progressive fatigue. Typical unfatigued values: ~80–120 Hz (passband-constrained).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mnf_hz_left / right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Hz  [20–240]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Mean Power Frequency — power-weighted spectral centroid. Complementary to MDF; logged for methodological completeness.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t xml:space="preserve">Fatigue trend &amp; data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EE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MDF(t)  =  β</w:t>
            </w:r>
            <w:r>
              <w:rPr>
                <w:b/>
                <w:bCs/>
                <w:sz w:val="14"/>
                <w:szCs w:val="14"/>
                <w:vertAlign w:val="subscript"/>
              </w:rPr>
              <w:t xml:space="preserve">1</w:t>
            </w:r>
            <w:r>
              <w:rPr>
                <w:b/>
                <w:bCs/>
                <w:sz w:val="22"/>
                <w:szCs w:val="22"/>
              </w:rPr>
              <w:t xml:space="preserve"> × t  +  β</w:t>
            </w:r>
            <w:r>
              <w:rPr>
                <w:b/>
                <w:bCs/>
                <w:sz w:val="14"/>
                <w:szCs w:val="14"/>
                <w:vertAlign w:val="subscript"/>
              </w:rPr>
              <w:t xml:space="preserve">0</w:t>
            </w:r>
          </w:p>
          <w:p>
            <w:pPr>
              <w:spacing w:before="9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OLS linear slope of MDF over time within the 5-minute epoch — negative β₁ = fatigue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EE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  <w:r>
              <w:rPr>
                <w:b/>
                <w:bCs/>
                <w:sz w:val="14"/>
                <w:szCs w:val="14"/>
                <w:vertAlign w:val="superscript"/>
              </w:rPr>
              <w:t xml:space="preserve">2</w:t>
            </w:r>
            <w:r>
              <w:rPr>
                <w:b/>
                <w:bCs/>
                <w:sz w:val="22"/>
                <w:szCs w:val="22"/>
              </w:rPr>
              <w:t xml:space="preserve">  =  1  −  SS</w:t>
            </w:r>
            <w:r>
              <w:rPr>
                <w:b/>
                <w:bCs/>
                <w:sz w:val="14"/>
                <w:szCs w:val="14"/>
                <w:vertAlign w:val="subscript"/>
              </w:rPr>
              <w:t xml:space="preserve">res</w:t>
            </w:r>
            <w:r>
              <w:rPr>
                <w:b/>
                <w:bCs/>
                <w:sz w:val="22"/>
                <w:szCs w:val="22"/>
              </w:rPr>
              <w:t xml:space="preserve">  ÷  SS</w:t>
            </w:r>
            <w:r>
              <w:rPr>
                <w:b/>
                <w:bCs/>
                <w:sz w:val="14"/>
                <w:szCs w:val="14"/>
                <w:vertAlign w:val="subscript"/>
              </w:rPr>
              <w:t xml:space="preserve">tot</w:t>
            </w:r>
          </w:p>
          <w:p>
            <w:pPr>
              <w:spacing w:before="9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Proportion of MDF variance explained by the linear time trend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9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Missingness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fatigue_slope_left / right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Hz/min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 if insufficient data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Key fatigue metric — a negative slope means MDF is declining, i.e. the muscle is fatiguing. Steeper negative slope = faster fatigue progression. High-force studies report ~−1.2 Hz/min; low-load occupational work is expected to be much smaller in magnitude.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mdf_r_squared_left / right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dimensionless [0,1]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 if insufficient data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Quality-control metric: whether the MDF trend is a clean linear decline (high R²) or noisy (low R²). The fatigue flag is only set if R² ≥ 0.30, preventing noisy slopes from triggering false positives.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3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Missingness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n_windows_left / right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if gated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Number of Welch windows used in spectral estimation. ≈598 raw windows from a full 5-minute epoch; active-epoch gating (≥50% samples active) reduces this. Values below 5 suppress slope estimation entirely.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mdf_computed_left / right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bool {0,1}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 NULL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Whether MDF was successfully computed. 1 = epoch sufficiently active; 0 = failed the active-ratio gate (≥50% samples above 3.0% RVE). Explicit missingness flag — distinguishes “muscle resting” from a data error, preventing the common mistake of imputing missing spectral data as 0 Hz.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is_fatiguing_left / right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bool {0,1}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 NULL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Binary fatigue flag. Set to 1 only if BOTH: fatigue_slope &lt; −0.3 Hz/min AND mdf_r_squared ≥ 0.30. The dual criterion prevents false positives from noisy slopes. Thresholds are conservative v1 placeholders, to be calibrated in v2.</w:t>
            </w:r>
          </w:p>
        </w:tc>
      </w:tr>
    </w:tbl>
    <w:p>
      <w:pPr>
        <w:pStyle w:val="Heading2"/>
        <w:spacing w:after="140" w:before="300"/>
      </w:pPr>
      <w:r>
        <w:t xml:space="preserve">5.10 Subjective Strain Label (ML Target Variable)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These two columns constitute the ground-truth target variable y for supervised learning.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300"/>
        <w:gridCol w:w="1700"/>
        <w:gridCol w:w="3160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Missingness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strain_reported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 (bool)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{0, 1}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 NULL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Whether the subject submitted a Borg CR-10 rating at this epoch boundary. 1 = rating received; 0 = subject did not respond. Primary mechanism for handling missing self-reports — always written, even when no rating exists.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subjective_strain_cr10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[0.0, 10.0] or NULL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 when strain_reported = 0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Ground-truth subjective muscular strain label (Borg CR-10, collected via non-blocking popup every 5-minute epoch boundary). 0 = nothing at all; 5 = strong (heavy working fatigue); 10 = absolute maximum. This is the regression target y.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t xml:space="preserve">Missingness policy for the strain label (non-negotiable design requirement)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Missing ratings are represented as NULL / empty string — never as a sentinel number such as −1 or 0. This is required because: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Bayesian priors: sentinel values contaminate continuous prior distributions. A prior that treats y = −1 as a valid observation distorts posterior estimates by injecting a physically impossible data point.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Forward-fill (LOCF) is prohibited: carrying the last observation forward would inflate the effective sample size by 150,000× at the raw 500 Hz sample level — pseudo-replication that destroys confidence intervals downstream.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Backward-fill is prohibited: if the session terminates unexpectedly (hardware disconnect, battery failure), backward-filling from a future observation that was never recorded is impossible.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Imputed zero is prohibited: a rating of 0.0 (“no exertion at all”) has a specific valid physiological meaning and must not be substituted for “no rating received.”</w:t>
      </w:r>
    </w:p>
    <w:p>
      <w:pPr>
        <w:pStyle w:val="Heading1"/>
        <w:spacing w:after="180" w:before="400"/>
      </w:pPr>
      <w:r>
        <w:t xml:space="preserve">6. Supplementary — Raw Telemetry Stream (_raw.csv)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Each session also generates a companion high-frequency raw file, stored locally at output_logs/&lt;user&gt;/session_&lt;timestamp&gt;/session_&lt;timestamp&gt;_raw.csv (compressed to Parquet on session end).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Granularity: one row per ADC sample, at 500 Hz → 500 rows per second → 150,000 rows per 5-minute epoch.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3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5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sample_index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Global 0-based sample counter from session start. Monotonically increasing; identifies every individual ADC sample.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timestamp_s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seconds</w:t>
            </w:r>
          </w:p>
        </w:tc>
        <w:tc>
          <w:tcPr>
            <w:tcW w:type="dxa" w:w="5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Wall-clock time since session start (float). Enables reconstruction of absolute timing even if the system clock resets.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epoch_index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Which 5-minute epoch this sample belongs to. Primary join key between the raw stream and the feature table.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raw_adc_left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ADC counts</w:t>
            </w:r>
          </w:p>
        </w:tc>
        <w:tc>
          <w:tcPr>
            <w:tcW w:type="dxa" w:w="5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unsigned ADC value from the Left Arduino (COM6, pin A2, BioAmp EXG Pill). 14-bit resolution: [0, 16383]. Uncalibrated, unfiltered, unprocessed.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raw_adc_right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ADC counts</w:t>
            </w:r>
          </w:p>
        </w:tc>
        <w:tc>
          <w:tcPr>
            <w:tcW w:type="dxa" w:w="5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for the Right Arduino (COM5, pin A2).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t xml:space="preserve">Why keep raw files separate from features?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Feature files are the primary research dataset — compact, 38-column wide format, one row per 5 minutes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Raw files are the archival master record — enable any future signal-processing algorithm to reprocess sessions from scratch (retrospective MDF estimation, novel filters, deep learning directly on raw waveforms)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Separating them keeps _features.csv small enough for Excel/pandas analysis while preserving full reprocessability</w:t>
      </w:r>
    </w:p>
    <w:p>
      <w:pPr>
        <w:pStyle w:val="Heading1"/>
        <w:spacing w:after="180" w:before="400"/>
      </w:pPr>
      <w:r>
        <w:t xml:space="preserve">7. ML Variable Role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5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group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ML role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Target (y)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subjective_strain_cr10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Continuous regression target (ordinal Bayesian)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Only rows where strain_reported = 1 are labelled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Missingness flag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strain_reported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Sample weight / missingness modelling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Always 0 or 1, never NULL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 features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epoch_index, elapsed_minutes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Temporal position features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 for within-session fatigue trajectory models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Amplitude exposure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eindex_live_left/right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 load features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Bounded [−2, +2]; directly from Koch (2024)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Event frequency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short_suma_penalty_left/right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Risk fragmentation features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[0, 1]; captures pulsatile loading patterns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Burst count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total_suma_bursts_left/right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Count-based exposure features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Unbounded; complementary to penalty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Recovery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gap_frequency_left/right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Recovery / rest features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Higher = better; key protective factor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 distribution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apdf_10/50/90_left/right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Distributional shape features (6 cols/side)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Captures static, median, and peak load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Asymmetry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asymmetry_index_ai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Bilateral balance feature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[−1, +1]; independent risk axis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Spectral fatigue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mdf_hz, mnf_hz, fatigue_slope (L/R)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Frequency-domain fatigue features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Trend indicators only; not comparable to published norms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Regression quality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mdf_r_squared_left/right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quality covariates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Distinguish reliable vs. noisy spectral estimates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Boolean flags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mdf_computed, is_fatiguing (L/R), asymmetry_penalty_applied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Binary indicator features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Enable interaction terms and missingness-aware modelling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 context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calibration_rms_left/right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Normalisation provenance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Include in models to adjust for calibration quality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Subject covariates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gender_sex, weight_kg, height_cm, birth_date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Random effects / fixed covariates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Used in hierarchical models to partition within- vs. between-subject variance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Technical covariates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processing_version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provenance indicator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Binary: phase11_edge_padding vs. legacy_constant_padding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Total feature dimensionality (epoch_features only): </w:t>
      </w:r>
      <w:r>
        <w:rPr>
          <w:b/>
          <w:bCs/>
          <w:sz w:val="20"/>
          <w:szCs w:val="20"/>
        </w:rPr>
        <w:t xml:space="preserve">36 physiological predictors + 2 label/flag columns = 38 columns per row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With joined session and subject context (v_ml_training_pairs): </w:t>
      </w:r>
      <w:r>
        <w:rPr>
          <w:b/>
          <w:bCs/>
          <w:sz w:val="20"/>
          <w:szCs w:val="20"/>
        </w:rPr>
        <w:t xml:space="preserve">38 + 9 session/subject columns ≈ 47 columns total</w:t>
      </w:r>
    </w:p>
    <w:p>
      <w:pPr>
        <w:pStyle w:val="Heading1"/>
        <w:spacing w:after="180" w:before="400"/>
      </w:pPr>
      <w:r>
        <w:t xml:space="preserve">8. Data Collection Protocol</w:t>
      </w:r>
    </w:p>
    <w:p>
      <w:pPr>
        <w:pStyle w:val="Heading3"/>
        <w:spacing w:after="100" w:before="220"/>
      </w:pPr>
      <w:r>
        <w:t xml:space="preserve">Session setup (per subject, per recording)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Subject registration: subject enters name, birth date, sex, weight, and height into the GUI profile dialog. Creates a user_profiles row and a local user_profile.json.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Hardware connection: two Arduino UNO R4 Minima identified via Device Manager (COM port numbers entered into start_lsl_stream.py). LSL stream started; GUI confirms stream discovery.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Electrode placement: two Ag/AgCl surface electrodes per side placed on the upper trapezius belly (between C7 spinous process and acromion), with a reference electrode on a bony landmark (e.g. clavicle). Skin-electrode impedance is verified visually via the signal-quality indicator.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5-second RVE calibration: subject performs a maximal bilateral shoulder shrug for 5 seconds. Mean RMS during this period is stored as calibration_rms_left and calibration_rms_right. All subsequent %RVE values are normalised to these baselines.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Task performance: subject performs their normal computer work task (typing, mousing, reading, etc.) under naturalistic conditions, with no imposed movement protocols.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Every 5 minutes: a Borg CR-10 popup appears automatically. Subject enters perceived exertion on [0.0, 10.0] and clicks Submit. Skipping the dialog sets strain_reported = 0, subjective_strain_cr10 = NULL.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Session end: subject clicks Stop Recording. end_session() writes CSVs/Parquet to disk first, then triggers asynchronous background cloud sync over HTTPS/Port 443.</w:t>
      </w:r>
    </w:p>
    <w:p>
      <w:pPr>
        <w:pStyle w:val="Heading3"/>
        <w:spacing w:after="100" w:before="220"/>
      </w:pPr>
      <w:r>
        <w:t xml:space="preserve">Recording environment constraints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EMG signal processing starts only after the calibration shrug completes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Sessions with failed calibration (calibration_rms_left = NULL or 0) are flagged uncalibrated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Mains interference (50 Hz spike) is auto-detected via PSD comparison and a notch filter is applied automatically</w:t>
      </w:r>
    </w:p>
    <w:p>
      <w:pPr>
        <w:pStyle w:val="Heading1"/>
        <w:spacing w:after="180" w:before="400"/>
      </w:pPr>
      <w:r>
        <w:t xml:space="preserve">9. Missingness &amp; Data Quality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Subject skips Borg rating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strain_reported = 0, subjective_strain_cr10 = NULL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Explicit, model-compatible missingness; forward-fill prohibited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Epoch predominantly resting (&lt; 50% active samples)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mdf_computed_left/right = 0, spectral columns = NULL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Avoids fitting a PSD to the electrical noise floor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Fewer than 5 active Welch windows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fatigue_slope = NULL, mdf_r_squared = NULL, is_fatiguing = 0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Prevents a meaningless 2-point OLS regression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Uncalibrated session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calibration_rms = NULL; normalized column in raw data = NaN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Downstream models flag and optionally exclude uncalibrated rows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side fully resting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asymmetry_index_ai = NULL, asymmetry_penalty_applied = 0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Asymmetry is undefined when the denominator = 0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Network failure during cloud sync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local files intact; retry possible via CLI batch uploader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Disk-first architecture — local storage is always written before network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 crash / power loss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 session retained; end_time = NULL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CSV flushed per second; features written per epoch</w:t>
            </w:r>
          </w:p>
        </w:tc>
      </w:tr>
    </w:tbl>
    <w:p>
      <w:pPr>
        <w:pStyle w:val="Heading1"/>
        <w:spacing w:after="180" w:before="400"/>
      </w:pPr>
      <w:r>
        <w:t xml:space="preserve">10. Dataset Statistics (Expected at Full Collection)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Sessions per subject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~5–20 (pilot study)</w:t>
            </w:r>
          </w:p>
        </w:tc>
      </w:tr>
      <w:t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 duration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30–120 minutes</w:t>
            </w:r>
          </w:p>
        </w:tc>
      </w:tr>
      <w:t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Epochs per session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6–24 (at 5-minute intervals)</w:t>
            </w:r>
          </w:p>
        </w:tc>
      </w:tr>
      <w:t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Rows in epoch_features per subject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~60–480</w:t>
            </w:r>
          </w:p>
        </w:tc>
      </w:tr>
      <w:t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samples per session (both channels)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9M – 72M samples</w:t>
            </w:r>
          </w:p>
        </w:tc>
      </w:tr>
      <w:t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Labelled epochs (strain_reported = 1)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~70–90% (subject compliance dependent)</w:t>
            </w:r>
          </w:p>
        </w:tc>
      </w:tr>
      <w:t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Feature dimensionality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 columns</w:t>
            </w:r>
          </w:p>
        </w:tc>
      </w:tr>
      <w:t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Feature types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 REAL, 6 INTEGER/boolean, 4 identifier</w:t>
            </w:r>
          </w:p>
        </w:tc>
      </w:tr>
      <w:t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NULL-allowed columns in epoch_features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 (all spectral + APDF columns)</w:t>
            </w:r>
          </w:p>
        </w:tc>
      </w:tr>
      <w:tr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NOT-NULL columns in epoch_features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(identifiers, EIndex, SUMA, gaps, flags)</w:t>
            </w:r>
          </w:p>
        </w:tc>
      </w:tr>
    </w:tbl>
    <w:p>
      <w:pPr>
        <w:spacing w:after="120"/>
      </w:pPr>
    </w:p>
    <w:p>
      <w:pPr>
        <w:pBdr>
          <w:top w:val="single" w:color="BFBFBF" w:sz="4" w:space="8"/>
        </w:pBdr>
        <w:spacing w:before="400"/>
      </w:pPr>
      <w:r>
        <w:rPr>
          <w:i/>
          <w:iCs/>
          <w:color w:val="595959"/>
          <w:sz w:val="17"/>
          <w:szCs w:val="17"/>
        </w:rPr>
        <w:t xml:space="preserve">This document was generated from, and is directly consistent with, the source schema defined in cloud_schema.py and the CSV header defined in local_logger.py. Every column listed here corresponds to an exact column in the live database and CSV output files.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TensionBudget — Dataset Description &amp; Feature Dictionary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496" w:sz="6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2026-08-05T08:22:21.200Z</dcterms:created>
  <dcterms:modified xsi:type="dcterms:W3CDTF">2026-08-05T08:22:21.212Z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