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CB54" w14:textId="77777777" w:rsidR="00F754DF" w:rsidRDefault="00000000">
      <w:pPr>
        <w:spacing w:before="1400"/>
        <w:jc w:val="center"/>
      </w:pPr>
      <w:r>
        <w:rPr>
          <w:b/>
          <w:bCs/>
          <w:color w:val="1F4E79"/>
          <w:sz w:val="40"/>
          <w:szCs w:val="40"/>
        </w:rPr>
        <w:t>Forgeline Marketplace Integration</w:t>
      </w:r>
    </w:p>
    <w:p w14:paraId="2FEE40BD" w14:textId="77777777" w:rsidR="00F754DF" w:rsidRDefault="00000000">
      <w:pPr>
        <w:spacing w:before="120" w:after="500"/>
        <w:jc w:val="center"/>
      </w:pPr>
      <w:r>
        <w:rPr>
          <w:color w:val="44546A"/>
          <w:sz w:val="27"/>
          <w:szCs w:val="27"/>
        </w:rPr>
        <w:t>Review of Reference Architecture DRAFT v0.9</w:t>
      </w:r>
    </w:p>
    <w:p w14:paraId="623669CD" w14:textId="77777777" w:rsidR="00F754DF" w:rsidRDefault="00000000">
      <w:pPr>
        <w:spacing w:after="80"/>
        <w:jc w:val="center"/>
      </w:pPr>
      <w:r>
        <w:rPr>
          <w:b/>
          <w:bCs/>
          <w:sz w:val="24"/>
          <w:szCs w:val="24"/>
        </w:rPr>
        <w:t>Part B — Architecture Review</w:t>
      </w:r>
    </w:p>
    <w:p w14:paraId="5C85C0D3" w14:textId="77777777" w:rsidR="00F754DF" w:rsidRDefault="00000000">
      <w:pPr>
        <w:spacing w:after="500"/>
        <w:jc w:val="center"/>
      </w:pPr>
      <w:r>
        <w:rPr>
          <w:i/>
          <w:iCs/>
          <w:color w:val="595959"/>
          <w:sz w:val="20"/>
          <w:szCs w:val="20"/>
        </w:rPr>
        <w:t>Findings, ranked by severity / blast radius, with concrete fixes</w:t>
      </w:r>
    </w:p>
    <w:p w14:paraId="12435950" w14:textId="77777777" w:rsidR="00F754DF" w:rsidRDefault="00000000">
      <w:pPr>
        <w:spacing w:after="40"/>
        <w:jc w:val="center"/>
      </w:pPr>
      <w:r>
        <w:rPr>
          <w:sz w:val="19"/>
          <w:szCs w:val="19"/>
        </w:rPr>
        <w:t>Subject document: forgeline-reference-architecture-DRAFT.md (v0.9, unvetted, prior engagement)</w:t>
      </w:r>
    </w:p>
    <w:p w14:paraId="3CC612CD" w14:textId="77777777" w:rsidR="00F754DF" w:rsidRDefault="00000000">
      <w:pPr>
        <w:spacing w:after="40"/>
        <w:jc w:val="center"/>
      </w:pPr>
      <w:r>
        <w:rPr>
          <w:sz w:val="19"/>
          <w:szCs w:val="19"/>
        </w:rPr>
        <w:t>Reviewed against: Forgeline production scale, SLAs, and the two-market (India/Germany) business context</w:t>
      </w:r>
    </w:p>
    <w:p w14:paraId="15CC19EB" w14:textId="77777777" w:rsidR="00F754DF" w:rsidRDefault="00000000">
      <w:pPr>
        <w:spacing w:after="1000"/>
        <w:jc w:val="center"/>
      </w:pPr>
      <w:r>
        <w:rPr>
          <w:sz w:val="20"/>
          <w:szCs w:val="20"/>
        </w:rPr>
        <w:t>Date: 23 June 2026</w:t>
      </w:r>
    </w:p>
    <w:p w14:paraId="520AFEDF" w14:textId="77777777" w:rsidR="00F754DF" w:rsidRDefault="00000000">
      <w:pPr>
        <w:jc w:val="center"/>
      </w:pPr>
      <w:r>
        <w:rPr>
          <w:i/>
          <w:iCs/>
          <w:color w:val="595959"/>
          <w:sz w:val="18"/>
          <w:szCs w:val="18"/>
        </w:rPr>
        <w:t>This is a review, not a redesign. Where Part A's reference architecture independently resolves an issue raised here, that's noted, but this document stands on its own as an assessment of the draft as written.</w:t>
      </w:r>
    </w:p>
    <w:p w14:paraId="0AE09B30" w14:textId="77777777" w:rsidR="00F754DF" w:rsidRDefault="00000000">
      <w:r>
        <w:br w:type="page"/>
      </w:r>
    </w:p>
    <w:p w14:paraId="65AE42AC" w14:textId="77777777" w:rsidR="00F754DF" w:rsidRDefault="00000000">
      <w:pPr>
        <w:pStyle w:val="Heading1"/>
      </w:pPr>
      <w:r>
        <w:lastRenderedPageBreak/>
        <w:t>Table of Contents</w:t>
      </w:r>
    </w:p>
    <w:p w14:paraId="6940B033" w14:textId="77777777" w:rsidR="00F754DF" w:rsidRDefault="00000000">
      <w:pPr>
        <w:pStyle w:val="ListParagraph"/>
        <w:numPr>
          <w:ilvl w:val="0"/>
          <w:numId w:val="2"/>
        </w:numPr>
        <w:spacing w:after="100" w:line="276" w:lineRule="auto"/>
      </w:pPr>
      <w:r>
        <w:t>0. How This Review Was Conducted</w:t>
      </w:r>
    </w:p>
    <w:p w14:paraId="71B48E0F" w14:textId="77777777" w:rsidR="00F754DF" w:rsidRDefault="00000000">
      <w:pPr>
        <w:pStyle w:val="ListParagraph"/>
        <w:numPr>
          <w:ilvl w:val="0"/>
          <w:numId w:val="2"/>
        </w:numPr>
        <w:spacing w:after="100" w:line="276" w:lineRule="auto"/>
      </w:pPr>
      <w:r>
        <w:t>1. Ranking Criteria</w:t>
      </w:r>
    </w:p>
    <w:p w14:paraId="36BAC71E" w14:textId="77777777" w:rsidR="00F754DF" w:rsidRDefault="00000000">
      <w:pPr>
        <w:pStyle w:val="ListParagraph"/>
        <w:numPr>
          <w:ilvl w:val="0"/>
          <w:numId w:val="2"/>
        </w:numPr>
        <w:spacing w:after="100" w:line="276" w:lineRule="auto"/>
      </w:pPr>
      <w:r>
        <w:t>2. Executive Summary — the Picture in One Page</w:t>
      </w:r>
    </w:p>
    <w:p w14:paraId="36759281" w14:textId="77777777" w:rsidR="00F754DF" w:rsidRDefault="00000000">
      <w:pPr>
        <w:pStyle w:val="ListParagraph"/>
        <w:numPr>
          <w:ilvl w:val="0"/>
          <w:numId w:val="2"/>
        </w:numPr>
        <w:spacing w:after="100" w:line="276" w:lineRule="auto"/>
      </w:pPr>
      <w:r>
        <w:t>3. Critical Findings (Money, Security, Irreversible Correctness)</w:t>
      </w:r>
    </w:p>
    <w:p w14:paraId="57823913" w14:textId="77777777" w:rsidR="00F754DF" w:rsidRDefault="00000000">
      <w:pPr>
        <w:pStyle w:val="ListParagraph"/>
        <w:numPr>
          <w:ilvl w:val="0"/>
          <w:numId w:val="2"/>
        </w:numPr>
        <w:spacing w:after="100" w:line="276" w:lineRule="auto"/>
      </w:pPr>
      <w:r>
        <w:t>4. High Findings (Data Integrity &amp; Availability)</w:t>
      </w:r>
    </w:p>
    <w:p w14:paraId="39D4826B" w14:textId="77777777" w:rsidR="00F754DF" w:rsidRDefault="00000000">
      <w:pPr>
        <w:pStyle w:val="ListParagraph"/>
        <w:numPr>
          <w:ilvl w:val="0"/>
          <w:numId w:val="2"/>
        </w:numPr>
        <w:spacing w:after="100" w:line="276" w:lineRule="auto"/>
      </w:pPr>
      <w:r>
        <w:t>5. Medium Findings (Operational Risk)</w:t>
      </w:r>
    </w:p>
    <w:p w14:paraId="289C07A8" w14:textId="77777777" w:rsidR="00F754DF" w:rsidRDefault="00000000">
      <w:pPr>
        <w:pStyle w:val="ListParagraph"/>
        <w:numPr>
          <w:ilvl w:val="0"/>
          <w:numId w:val="2"/>
        </w:numPr>
        <w:spacing w:after="100" w:line="276" w:lineRule="auto"/>
      </w:pPr>
      <w:r>
        <w:t>6. Low Findings (Hygiene)</w:t>
      </w:r>
    </w:p>
    <w:p w14:paraId="04DE8822" w14:textId="77777777" w:rsidR="00F754DF" w:rsidRDefault="00000000">
      <w:pPr>
        <w:pStyle w:val="ListParagraph"/>
        <w:numPr>
          <w:ilvl w:val="0"/>
          <w:numId w:val="2"/>
        </w:numPr>
        <w:spacing w:after="100" w:line="276" w:lineRule="auto"/>
      </w:pPr>
      <w:r>
        <w:t>7. What the Draft Gets Right</w:t>
      </w:r>
    </w:p>
    <w:p w14:paraId="68193A7E" w14:textId="77777777" w:rsidR="00F754DF" w:rsidRDefault="00000000">
      <w:pPr>
        <w:pStyle w:val="ListParagraph"/>
        <w:numPr>
          <w:ilvl w:val="0"/>
          <w:numId w:val="2"/>
        </w:numPr>
        <w:spacing w:after="100" w:line="276" w:lineRule="auto"/>
      </w:pPr>
      <w:r>
        <w:t>8. Systemic Patterns Behind the Individual Findings</w:t>
      </w:r>
    </w:p>
    <w:p w14:paraId="2AE5F22E" w14:textId="77777777" w:rsidR="00F754DF" w:rsidRDefault="00000000">
      <w:pPr>
        <w:pStyle w:val="ListParagraph"/>
        <w:numPr>
          <w:ilvl w:val="0"/>
          <w:numId w:val="2"/>
        </w:numPr>
        <w:spacing w:after="100" w:line="276" w:lineRule="auto"/>
      </w:pPr>
      <w:r>
        <w:t>9. Questions to Verify Before Sign-Off</w:t>
      </w:r>
    </w:p>
    <w:p w14:paraId="52889298" w14:textId="77777777" w:rsidR="00F754DF" w:rsidRDefault="00000000">
      <w:pPr>
        <w:pStyle w:val="ListParagraph"/>
        <w:numPr>
          <w:ilvl w:val="0"/>
          <w:numId w:val="2"/>
        </w:numPr>
        <w:spacing w:after="100" w:line="276" w:lineRule="auto"/>
      </w:pPr>
      <w:r>
        <w:t>10. Suggested Remediation Order</w:t>
      </w:r>
    </w:p>
    <w:p w14:paraId="5C6CC0C9" w14:textId="77777777" w:rsidR="00F754DF" w:rsidRDefault="00000000">
      <w:r>
        <w:br w:type="page"/>
      </w:r>
    </w:p>
    <w:p w14:paraId="532CCA9E" w14:textId="77777777" w:rsidR="00F754DF" w:rsidRDefault="00000000">
      <w:pPr>
        <w:pStyle w:val="Heading1"/>
      </w:pPr>
      <w:r>
        <w:lastRenderedPageBreak/>
        <w:t>0. How This Review Was Conducted</w:t>
      </w:r>
    </w:p>
    <w:p w14:paraId="7865E2F1" w14:textId="77777777" w:rsidR="00F754DF" w:rsidRDefault="00000000">
      <w:pPr>
        <w:spacing w:after="160" w:line="276" w:lineRule="auto"/>
      </w:pPr>
      <w:r>
        <w:t>This is reviewed the way I'd review a senior engineer's design before it goes to a client: read the whole thing once for intent, then a second pass section by section asking three questions of every claim — is this true as stated, does it hold at the stated production scale, and what happens when it fails. Every finding below traces to a specific section of the draft, states the problem, explains why it matters given Forgeline's actual business context (a B2B marketplace where, in the operator's own words, the platform must never lose money, leak a seller's data, or oversell), and proposes a concrete fix.</w:t>
      </w:r>
    </w:p>
    <w:p w14:paraId="77C025B1" w14:textId="77777777" w:rsidR="00F754DF" w:rsidRDefault="00000000">
      <w:pPr>
        <w:spacing w:after="160" w:line="276" w:lineRule="auto"/>
      </w:pPr>
      <w:r>
        <w:t>Findings are grouped by severity, not by the draft's own section order — Section 1 explains exactly how severity was assigned, because the brief asks for the ranking method to be explicit, not just the list of problems. Within each severity tier, findings are still ordered, highest blast radius first.</w:t>
      </w:r>
    </w:p>
    <w:p w14:paraId="2172F81B" w14:textId="77777777" w:rsidR="00F754DF" w:rsidRDefault="00000000">
      <w:r>
        <w:br w:type="page"/>
      </w:r>
    </w:p>
    <w:p w14:paraId="52A4E093" w14:textId="77777777" w:rsidR="00F754DF" w:rsidRDefault="00000000">
      <w:pPr>
        <w:pStyle w:val="Heading1"/>
      </w:pPr>
      <w:r>
        <w:lastRenderedPageBreak/>
        <w:t>1. Ranking Criteria</w:t>
      </w:r>
    </w:p>
    <w:p w14:paraId="1A484D28" w14:textId="77777777" w:rsidR="00F754DF" w:rsidRDefault="00000000">
      <w:pPr>
        <w:spacing w:after="160" w:line="276" w:lineRule="auto"/>
      </w:pPr>
      <w:r>
        <w:t>Four questions, asked of every finding, in this priority order. A finding is ranked by the highest tier any of these four pushes it to — a finding that's merely inconvenient on three axes but catastrophic on one is still ranked by the catastrophic axis.</w:t>
      </w:r>
    </w:p>
    <w:p w14:paraId="62C4C4A1" w14:textId="77777777" w:rsidR="00F754DF" w:rsidRDefault="00000000">
      <w:pPr>
        <w:pStyle w:val="Heading2"/>
      </w:pPr>
      <w:r>
        <w:t>1.1 Blast radius category (the primary axis)</w:t>
      </w:r>
    </w:p>
    <w:p w14:paraId="31B8512C" w14:textId="77777777" w:rsidR="00F754DF" w:rsidRDefault="00000000">
      <w:pPr>
        <w:pStyle w:val="ListParagraph"/>
        <w:numPr>
          <w:ilvl w:val="0"/>
          <w:numId w:val="2"/>
        </w:numPr>
        <w:spacing w:after="100" w:line="276" w:lineRule="auto"/>
      </w:pPr>
      <w:r>
        <w:t>Money or security or irreversible correctness loss — funds captured with no order, a settlement miscalculation, one seller's data exposed to another, stock oversold and promised twice. These map directly to the three things the business itself says must never happen.</w:t>
      </w:r>
    </w:p>
    <w:p w14:paraId="070EC20E" w14:textId="77777777" w:rsidR="00F754DF" w:rsidRDefault="00000000">
      <w:pPr>
        <w:pStyle w:val="ListParagraph"/>
        <w:numPr>
          <w:ilvl w:val="0"/>
          <w:numId w:val="2"/>
        </w:numPr>
        <w:spacing w:after="100" w:line="276" w:lineRule="auto"/>
      </w:pPr>
      <w:r>
        <w:t>Data integrity or availability degradation that's recoverable with effort — state corruption that a human can untangle, an SLA breach during a load spike, a deploy that needs a rollback.</w:t>
      </w:r>
    </w:p>
    <w:p w14:paraId="5C3747FC" w14:textId="77777777" w:rsidR="00F754DF" w:rsidRDefault="00000000">
      <w:pPr>
        <w:pStyle w:val="ListParagraph"/>
        <w:numPr>
          <w:ilvl w:val="0"/>
          <w:numId w:val="2"/>
        </w:numPr>
        <w:spacing w:after="100" w:line="276" w:lineRule="auto"/>
      </w:pPr>
      <w:r>
        <w:t>Operational risk that raises the odds of a future incident without itself being one — a fragile deploy process, a missing audit trail, weak observability.</w:t>
      </w:r>
    </w:p>
    <w:p w14:paraId="4FD17187" w14:textId="77777777" w:rsidR="00F754DF" w:rsidRDefault="00000000">
      <w:pPr>
        <w:pStyle w:val="ListParagraph"/>
        <w:numPr>
          <w:ilvl w:val="0"/>
          <w:numId w:val="2"/>
        </w:numPr>
        <w:spacing w:after="100" w:line="276" w:lineRule="auto"/>
      </w:pPr>
      <w:r>
        <w:t>Hygiene and best-practice gaps with low probability of real damage at the stated scale — these exist, are worth fixing, and are explicitly ranked last per the brief's own instruction that money and security come before cosmetics.</w:t>
      </w:r>
    </w:p>
    <w:p w14:paraId="30FD1FDC" w14:textId="77777777" w:rsidR="00F754DF" w:rsidRDefault="00000000">
      <w:pPr>
        <w:pStyle w:val="Heading2"/>
      </w:pPr>
      <w:r>
        <w:t>1.2 Likelihood given the stated scale, treated as a multiplier</w:t>
      </w:r>
    </w:p>
    <w:p w14:paraId="79BC1043" w14:textId="77777777" w:rsidR="00F754DF" w:rsidRDefault="00000000">
      <w:pPr>
        <w:spacing w:after="160" w:line="276" w:lineRule="auto"/>
      </w:pPr>
      <w:r>
        <w:t>At ~25,000 orders/day and ~500,000 actively-updating offers, anything described in the draft as an edge case is, at this volume, a recurring event — Redis eviction under memory pressure, two writers racing on the same SKU within the same second, a webhook arriving out of order. I do not discount findings for being 'rare'; at this scale, rare-per-event becomes routine-per-day. This is why several of the Critical findings below are things the draft's own authors might defend as 'unlikely' — unlikely-but-frequent at scale is exactly the failure mode this section exists to catch.</w:t>
      </w:r>
    </w:p>
    <w:p w14:paraId="3EC8D646" w14:textId="77777777" w:rsidR="00F754DF" w:rsidRDefault="00000000">
      <w:pPr>
        <w:pStyle w:val="Heading2"/>
      </w:pPr>
      <w:r>
        <w:t>1.3 Silence — does the failure announce itself</w:t>
      </w:r>
    </w:p>
    <w:p w14:paraId="39D0FFB1" w14:textId="77777777" w:rsidR="00F754DF" w:rsidRDefault="00000000">
      <w:pPr>
        <w:spacing w:after="160" w:line="276" w:lineRule="auto"/>
      </w:pPr>
      <w:r>
        <w:t>A failure that throws an error, fails a health check, or pages someone is bounded: it gets noticed and fixed. A failure that produces a plausible-looking wrong answer — a duplicate order that looks like a real order, a stale stock count that looks current, a settlement total that's wrong by a rounding-adjacent amount — can run for days or weeks before anyone notices, and by then the damage has compounded across every order it touched. Silent failures are ranked at least one tier above an otherwise-equivalent loud failure.</w:t>
      </w:r>
    </w:p>
    <w:p w14:paraId="21EDEEFC" w14:textId="77777777" w:rsidR="00F754DF" w:rsidRDefault="00000000">
      <w:pPr>
        <w:pStyle w:val="Heading2"/>
      </w:pPr>
      <w:r>
        <w:t>1.4 Reversibility</w:t>
      </w:r>
    </w:p>
    <w:p w14:paraId="3FF6108A" w14:textId="77777777" w:rsidR="00F754DF" w:rsidRDefault="00000000">
      <w:pPr>
        <w:spacing w:after="160" w:line="276" w:lineRule="auto"/>
      </w:pPr>
      <w:r>
        <w:t xml:space="preserve">Can a human undo the damage after the fact, and at what cost? A bad deploy can be rolled back. A captured payment with no order record requires finding the customer, explaining the charge, and possibly involving the payment processor's dispute process — the same underlying mistake, but one of these is an engineering fix and the other is a trust and possibly legal </w:t>
      </w:r>
      <w:r>
        <w:lastRenderedPageBreak/>
        <w:t>problem. Structurally unrecoverable damage (a data leak, once it's happened, can't be un-leaked) sits at the top regardless of how it scores on the other three axes.</w:t>
      </w:r>
    </w:p>
    <w:p w14:paraId="5DE5538D" w14:textId="77777777" w:rsidR="00F754DF" w:rsidRDefault="00000000">
      <w:r>
        <w:br w:type="page"/>
      </w:r>
    </w:p>
    <w:p w14:paraId="41C324C2" w14:textId="77777777" w:rsidR="00F754DF" w:rsidRDefault="00000000">
      <w:pPr>
        <w:pStyle w:val="Heading1"/>
      </w:pPr>
      <w:r>
        <w:lastRenderedPageBreak/>
        <w:t>2. Executive Summary — the Picture in One Page</w:t>
      </w:r>
    </w:p>
    <w:p w14:paraId="76660CD3" w14:textId="77777777" w:rsidR="00F754DF" w:rsidRDefault="00000000">
      <w:pPr>
        <w:spacing w:after="160" w:line="276" w:lineRule="auto"/>
      </w:pPr>
      <w:r>
        <w:t>The draft is not a bad starting sketch — the overall shape (webhook-driven ingestion, queue consumers, MySQL plus a search-optimised read layer, a daily settlement batch) is the right shape for this problem. The issues are concentrated in three places: the draft repeatedly claims a stronger guarantee than the mechanism it describes actually provides (exactly-once delivery, RPO 0, 'guaranteed' ERP delivery); it has no single-writer discipline anywhere money or stock quantity is touched, so concurrent writers can race; and it has no authorization or authentication boundary on two of its most sensitive surfaces (the seller dashboard, the webhook endpoint). None of these are exotic gaps — they are the standard list of things a marketplace integration has to get right, and the draft gets the architecture's shape right while getting these specific load-bearing details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F754DF" w14:paraId="5F8E10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06FF80" w14:textId="77777777" w:rsidR="00F754DF" w:rsidRDefault="00000000">
            <w:r>
              <w:rPr>
                <w:b/>
                <w:bCs/>
                <w:color w:val="FFFFFF"/>
                <w:sz w:val="19"/>
                <w:szCs w:val="19"/>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84AD49" w14:textId="77777777" w:rsidR="00F754DF" w:rsidRDefault="00000000">
            <w:r>
              <w:rPr>
                <w:b/>
                <w:bCs/>
                <w:color w:val="FFFFFF"/>
                <w:sz w:val="19"/>
                <w:szCs w:val="19"/>
              </w:rPr>
              <w:t>Count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F8B6EB" w14:textId="77777777" w:rsidR="00F754DF" w:rsidRDefault="00000000">
            <w:r>
              <w:rPr>
                <w:b/>
                <w:bCs/>
                <w:color w:val="FFFFFF"/>
                <w:sz w:val="19"/>
                <w:szCs w:val="19"/>
              </w:rPr>
              <w:t>What's at stake</w:t>
            </w:r>
          </w:p>
        </w:tc>
      </w:tr>
      <w:tr w:rsidR="00F754DF" w14:paraId="3F4CF7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B192" w14:textId="77777777" w:rsidR="00F754DF" w:rsidRDefault="00000000">
            <w:r>
              <w:rPr>
                <w:sz w:val="19"/>
                <w:szCs w:val="19"/>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A1152" w14:textId="77777777" w:rsidR="00F754DF" w:rsidRDefault="00000000">
            <w:r>
              <w:rPr>
                <w:sz w:val="19"/>
                <w:szCs w:val="19"/>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7441D" w14:textId="77777777" w:rsidR="00F754DF" w:rsidRDefault="00000000">
            <w:r>
              <w:rPr>
                <w:sz w:val="19"/>
                <w:szCs w:val="19"/>
              </w:rPr>
              <w:t>Money lost or miscounted, seller data exposed, orders silently lost or duplicated, stock oversold</w:t>
            </w:r>
          </w:p>
        </w:tc>
      </w:tr>
      <w:tr w:rsidR="00F754DF" w14:paraId="3FDC80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C9A49F" w14:textId="77777777" w:rsidR="00F754DF" w:rsidRDefault="00000000">
            <w:r>
              <w:rPr>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BD24C2" w14:textId="77777777" w:rsidR="00F754DF" w:rsidRDefault="00000000">
            <w:r>
              <w:rPr>
                <w:sz w:val="19"/>
                <w:szCs w:val="19"/>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37D468" w14:textId="77777777" w:rsidR="00F754DF" w:rsidRDefault="00000000">
            <w:r>
              <w:rPr>
                <w:sz w:val="19"/>
                <w:szCs w:val="19"/>
              </w:rPr>
              <w:t>Data integrity damage that's recoverable but costly, or availability risk against the stated SLAs</w:t>
            </w:r>
          </w:p>
        </w:tc>
      </w:tr>
      <w:tr w:rsidR="00F754DF" w14:paraId="3250D4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4116" w14:textId="77777777" w:rsidR="00F754DF" w:rsidRDefault="00000000">
            <w:r>
              <w:rPr>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9A72" w14:textId="77777777" w:rsidR="00F754DF" w:rsidRDefault="00000000">
            <w:r>
              <w:rPr>
                <w:sz w:val="19"/>
                <w:szCs w:val="19"/>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DCC2" w14:textId="77777777" w:rsidR="00F754DF" w:rsidRDefault="00000000">
            <w:r>
              <w:rPr>
                <w:sz w:val="19"/>
                <w:szCs w:val="19"/>
              </w:rPr>
              <w:t>Raises the odds of a future incident; not itself a loss event</w:t>
            </w:r>
          </w:p>
        </w:tc>
      </w:tr>
      <w:tr w:rsidR="00F754DF" w14:paraId="0C2D8B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E39478" w14:textId="77777777" w:rsidR="00F754DF" w:rsidRDefault="00000000">
            <w:r>
              <w:rPr>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2C39DB3" w14:textId="77777777" w:rsidR="00F754DF" w:rsidRDefault="00000000">
            <w:r>
              <w:rPr>
                <w:sz w:val="19"/>
                <w:szCs w:val="19"/>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585E1A0" w14:textId="77777777" w:rsidR="00F754DF" w:rsidRDefault="00000000">
            <w:r>
              <w:rPr>
                <w:sz w:val="19"/>
                <w:szCs w:val="19"/>
              </w:rPr>
              <w:t>Hygiene and best-practice gaps with low probability of real damage at this scale</w:t>
            </w:r>
          </w:p>
        </w:tc>
      </w:tr>
    </w:tbl>
    <w:p w14:paraId="4A5BAE32" w14:textId="77777777" w:rsidR="00F754DF" w:rsidRDefault="00F754DF">
      <w:pPr>
        <w:spacing w:after="120"/>
      </w:pPr>
    </w:p>
    <w:p w14:paraId="3A36993E" w14:textId="77777777" w:rsidR="00F754DF" w:rsidRDefault="00000000">
      <w:pPr>
        <w:spacing w:after="160" w:line="276" w:lineRule="auto"/>
      </w:pPr>
      <w:r>
        <w:t>Detail on each finding follows in Sections 3 through 6, ordered by severity and then by blast radius within each tier. Section 7 is deliberately included: a review that finds nothing right is as miscalibrated as one that finds nothing wrong, and the draft's settlement rounding approach in particular is correct and shouldn't be changed.</w:t>
      </w:r>
    </w:p>
    <w:p w14:paraId="5BA1BAA3" w14:textId="77777777" w:rsidR="00F754DF" w:rsidRDefault="00000000">
      <w:r>
        <w:br w:type="page"/>
      </w:r>
    </w:p>
    <w:p w14:paraId="6681D442" w14:textId="77777777" w:rsidR="00F754DF" w:rsidRDefault="00000000">
      <w:pPr>
        <w:pStyle w:val="Heading1"/>
      </w:pPr>
      <w:r>
        <w:lastRenderedPageBreak/>
        <w:t>3. Critical Findings</w:t>
      </w:r>
    </w:p>
    <w:p w14:paraId="1DB8C809" w14:textId="77777777" w:rsidR="00F754DF" w:rsidRDefault="00000000">
      <w:pPr>
        <w:spacing w:after="160" w:line="276" w:lineRule="auto"/>
      </w:pPr>
      <w:r>
        <w:t>Money, security, or irreversible correctness loss. These are not ranked by how hard they'd be to fix — several are small fixes — they're ranked by what happens if they ship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55F290BA"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03BF5BE7"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54DED5DD" w14:textId="77777777" w:rsidR="00F754DF" w:rsidRDefault="00000000">
                  <w:pPr>
                    <w:jc w:val="center"/>
                  </w:pPr>
                  <w:r>
                    <w:rPr>
                      <w:b/>
                      <w:bCs/>
                      <w:color w:val="791F1F"/>
                      <w:sz w:val="17"/>
                      <w:szCs w:val="17"/>
                    </w:rPr>
                    <w:t>CRITICAL</w:t>
                  </w:r>
                </w:p>
              </w:tc>
            </w:tr>
          </w:tbl>
          <w:p w14:paraId="5F354D83" w14:textId="77777777" w:rsidR="00F754DF" w:rsidRDefault="00F754DF"/>
        </w:tc>
        <w:tc>
          <w:tcPr>
            <w:tcW w:w="7960" w:type="dxa"/>
            <w:vAlign w:val="center"/>
          </w:tcPr>
          <w:p w14:paraId="1AEB74F5" w14:textId="77777777" w:rsidR="00F754DF" w:rsidRDefault="00000000">
            <w:r>
              <w:rPr>
                <w:b/>
                <w:bCs/>
                <w:color w:val="1F4E79"/>
                <w:sz w:val="21"/>
                <w:szCs w:val="21"/>
              </w:rPr>
              <w:t xml:space="preserve">C1  </w:t>
            </w:r>
            <w:r>
              <w:rPr>
                <w:b/>
                <w:bCs/>
                <w:sz w:val="21"/>
                <w:szCs w:val="21"/>
              </w:rPr>
              <w:t>Payment capture happens before the order exists, and failure after capture is logged and left for manual month-end reconciliation</w:t>
            </w:r>
          </w:p>
        </w:tc>
      </w:tr>
    </w:tbl>
    <w:p w14:paraId="55A7127A" w14:textId="77777777" w:rsidR="00F754DF" w:rsidRDefault="00000000">
      <w:pPr>
        <w:spacing w:before="100" w:after="100"/>
      </w:pPr>
      <w:r>
        <w:rPr>
          <w:i/>
          <w:iCs/>
          <w:color w:val="595959"/>
          <w:sz w:val="19"/>
          <w:szCs w:val="19"/>
        </w:rPr>
        <w:t>Draft reference: Section 3, paragraph 2</w:t>
      </w:r>
    </w:p>
    <w:p w14:paraId="057CA32C" w14:textId="77777777" w:rsidR="00F754DF" w:rsidRDefault="00000000">
      <w:pPr>
        <w:spacing w:after="80"/>
      </w:pPr>
      <w:r>
        <w:rPr>
          <w:b/>
          <w:bCs/>
        </w:rPr>
        <w:t xml:space="preserve">Problem: </w:t>
      </w:r>
      <w:r>
        <w:t>The consumer captures payment through the gateway first, then creates the Magento order. If order creation fails after capture succeeds, the draft's stated handling is to log the error and move on — finance reconciles manually at month end.</w:t>
      </w:r>
    </w:p>
    <w:p w14:paraId="198C8217" w14:textId="77777777" w:rsidR="00F754DF" w:rsidRDefault="00000000">
      <w:pPr>
        <w:spacing w:after="80"/>
      </w:pPr>
      <w:r>
        <w:rPr>
          <w:b/>
          <w:bCs/>
        </w:rPr>
        <w:t xml:space="preserve">Why it matters here: </w:t>
      </w:r>
      <w:r>
        <w:t>This means a customer can be charged with no order record anywhere in the system for up to a month. That's not a bookkeeping inconvenience — it's a real charge against a real customer's payment method with nothing in Commerce, Sellaxis, or anywhere else recording why, what for, or whether it should be refunded. At 25,000 orders/day, any non-zero order-creation failure rate (database contention, a bad deploy, a transient bug) turns this from a theoretical risk into a recurring one, and every occurrence is invisible until someone reconciles weeks later — by which point the customer may have already disputed the charge with their bank.</w:t>
      </w:r>
    </w:p>
    <w:p w14:paraId="3E675B30" w14:textId="77777777" w:rsidR="00F754DF" w:rsidRDefault="00000000">
      <w:pPr>
        <w:spacing w:after="80"/>
      </w:pPr>
      <w:r>
        <w:rPr>
          <w:b/>
          <w:bCs/>
        </w:rPr>
        <w:t xml:space="preserve">Fix: </w:t>
      </w:r>
      <w:r>
        <w:t>Create the order (or a reservation/intent record) before capturing payment, and capture against that existing order. If inventory needs protecting during the gap, use a short-lived MSI reservation hold instead of moving capture earlier — that protects stock without taking on the much worse problem of charging for orders that don't exist. If capture then fails, the order exists and can be retried, flagged for review, or cancelled through a visible workflow — failure becomes a routed exception, not a silent gap.</w:t>
      </w:r>
    </w:p>
    <w:p w14:paraId="1E220812" w14:textId="77777777" w:rsidR="00F754DF" w:rsidRDefault="00000000">
      <w:pPr>
        <w:spacing w:after="240"/>
      </w:pPr>
      <w:r>
        <w:rPr>
          <w:b/>
          <w:bCs/>
          <w:i/>
          <w:iCs/>
        </w:rPr>
        <w:t xml:space="preserve">Verify before sign-off: </w:t>
      </w:r>
      <w:r>
        <w:rPr>
          <w:i/>
          <w:iCs/>
        </w:rPr>
        <w:t>Whether Sellaxis itself ever captures funds upstream of Forgeline's own gateway call changes this analysis; confirm which side owns the capture decision before finalizing the fix.</w:t>
      </w:r>
    </w:p>
    <w:p w14:paraId="1A9C66E5"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26FB2D69"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6C7415B6"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7D24162F" w14:textId="77777777" w:rsidR="00F754DF" w:rsidRDefault="00000000">
                  <w:pPr>
                    <w:jc w:val="center"/>
                  </w:pPr>
                  <w:r>
                    <w:rPr>
                      <w:b/>
                      <w:bCs/>
                      <w:color w:val="791F1F"/>
                      <w:sz w:val="17"/>
                      <w:szCs w:val="17"/>
                    </w:rPr>
                    <w:t>CRITICAL</w:t>
                  </w:r>
                </w:p>
              </w:tc>
            </w:tr>
          </w:tbl>
          <w:p w14:paraId="3C71E512" w14:textId="77777777" w:rsidR="00F754DF" w:rsidRDefault="00F754DF"/>
        </w:tc>
        <w:tc>
          <w:tcPr>
            <w:tcW w:w="7960" w:type="dxa"/>
            <w:vAlign w:val="center"/>
          </w:tcPr>
          <w:p w14:paraId="786DCA6A" w14:textId="77777777" w:rsidR="00F754DF" w:rsidRDefault="00000000">
            <w:r>
              <w:rPr>
                <w:b/>
                <w:bCs/>
                <w:color w:val="1F4E79"/>
                <w:sz w:val="21"/>
                <w:szCs w:val="21"/>
              </w:rPr>
              <w:t xml:space="preserve">C2  </w:t>
            </w:r>
            <w:r>
              <w:rPr>
                <w:b/>
                <w:bCs/>
                <w:sz w:val="21"/>
                <w:szCs w:val="21"/>
              </w:rPr>
              <w:t>Dedup relies on a Redis set with no durability guarantee, and the consumer layer is told it doesn't need its own idempotency</w:t>
            </w:r>
          </w:p>
        </w:tc>
      </w:tr>
    </w:tbl>
    <w:p w14:paraId="0D09D403" w14:textId="77777777" w:rsidR="00F754DF" w:rsidRDefault="00000000">
      <w:pPr>
        <w:spacing w:before="100" w:after="100"/>
      </w:pPr>
      <w:r>
        <w:rPr>
          <w:i/>
          <w:iCs/>
          <w:color w:val="595959"/>
          <w:sz w:val="19"/>
          <w:szCs w:val="19"/>
        </w:rPr>
        <w:t>Draft reference: Section 2, paragraphs 1–2</w:t>
      </w:r>
    </w:p>
    <w:p w14:paraId="4D1739C7" w14:textId="77777777" w:rsidR="00F754DF" w:rsidRDefault="00000000">
      <w:pPr>
        <w:spacing w:after="80"/>
      </w:pPr>
      <w:r>
        <w:rPr>
          <w:b/>
          <w:bCs/>
        </w:rPr>
        <w:t xml:space="preserve">Problem: </w:t>
      </w:r>
      <w:r>
        <w:t>Delivery_id dedup lives only in a Redis set. The draft also states Magento's queue framework provides exactly-once delivery to consumers and that no further dedup is needed inside the consumer — both halves of this are incorrect in ways that compound each other.</w:t>
      </w:r>
    </w:p>
    <w:p w14:paraId="0F105419" w14:textId="77777777" w:rsidR="00F754DF" w:rsidRDefault="00000000">
      <w:pPr>
        <w:spacing w:after="80"/>
      </w:pPr>
      <w:r>
        <w:rPr>
          <w:b/>
          <w:bCs/>
        </w:rPr>
        <w:t xml:space="preserve">Why it matters here: </w:t>
      </w:r>
      <w:r>
        <w:t>Message brokers provide at-least-once delivery in standard configuration — a consumer can pull a message, fail before acknowledging, and have the broker redeliver it; the broker cannot know whether the consumer's database write actually committed. Believing otherwise means the consumer code was never written to be idempotent. Combine that with a Redis-only dedup set (evicted under memory pressure, lost on a restart or failover) and you have two independent paths to the same outcome: an order or a payment capture applied twice, silently, with the dedup mechanism providing false confidence that this can't happen. At this volume, Redis memory pressure and broker redelivery are not edge cases — they are events that will occur over the system's operating lifetime, and each occurrence is a duplicate order or a duplicate charge with no error thrown anywhere.</w:t>
      </w:r>
    </w:p>
    <w:p w14:paraId="0076FD88" w14:textId="77777777" w:rsidR="00F754DF" w:rsidRDefault="00000000">
      <w:pPr>
        <w:spacing w:after="240"/>
      </w:pPr>
      <w:r>
        <w:rPr>
          <w:b/>
          <w:bCs/>
        </w:rPr>
        <w:lastRenderedPageBreak/>
        <w:t xml:space="preserve">Fix: </w:t>
      </w:r>
      <w:r>
        <w:t>Two independent fixes, not one: (1) move the delivery_id dedup record to a durable store — a unique constraint on a database inbox table, with Redis as an optional fast-path cache in front of it, never as the only copy of the fact. (2) Write every consumer to be idempotent on its own terms regardless of what the broker guarantees — an upsert keyed on the Sellaxis order id instead of an insert, a state check before any transition is applied. Treat broker delivery as at-least-once unconditionally; this assumption costs nothing when it's also exactly-once and prevents real damage when it isn't.</w:t>
      </w:r>
    </w:p>
    <w:p w14:paraId="6FE8F197"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1E8259CE"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67B5F2CA"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56892DFC" w14:textId="77777777" w:rsidR="00F754DF" w:rsidRDefault="00000000">
                  <w:pPr>
                    <w:jc w:val="center"/>
                  </w:pPr>
                  <w:r>
                    <w:rPr>
                      <w:b/>
                      <w:bCs/>
                      <w:color w:val="791F1F"/>
                      <w:sz w:val="17"/>
                      <w:szCs w:val="17"/>
                    </w:rPr>
                    <w:t>CRITICAL</w:t>
                  </w:r>
                </w:p>
              </w:tc>
            </w:tr>
          </w:tbl>
          <w:p w14:paraId="4A300BD8" w14:textId="77777777" w:rsidR="00F754DF" w:rsidRDefault="00F754DF"/>
        </w:tc>
        <w:tc>
          <w:tcPr>
            <w:tcW w:w="7960" w:type="dxa"/>
            <w:vAlign w:val="center"/>
          </w:tcPr>
          <w:p w14:paraId="30433CDB" w14:textId="77777777" w:rsidR="00F754DF" w:rsidRDefault="00000000">
            <w:r>
              <w:rPr>
                <w:b/>
                <w:bCs/>
                <w:color w:val="1F4E79"/>
                <w:sz w:val="21"/>
                <w:szCs w:val="21"/>
              </w:rPr>
              <w:t xml:space="preserve">C3  </w:t>
            </w:r>
            <w:r>
              <w:rPr>
                <w:b/>
                <w:bCs/>
                <w:sz w:val="21"/>
                <w:szCs w:val="21"/>
              </w:rPr>
              <w:t>Three independent, uncoordinated writers can race on the same SKU's stock quantity</w:t>
            </w:r>
          </w:p>
        </w:tc>
      </w:tr>
    </w:tbl>
    <w:p w14:paraId="09BBE8D0" w14:textId="77777777" w:rsidR="00F754DF" w:rsidRDefault="00000000">
      <w:pPr>
        <w:spacing w:before="100" w:after="100"/>
      </w:pPr>
      <w:r>
        <w:rPr>
          <w:i/>
          <w:iCs/>
          <w:color w:val="595959"/>
          <w:sz w:val="19"/>
          <w:szCs w:val="19"/>
        </w:rPr>
        <w:t>Draft reference: Section 4, all three paragraphs</w:t>
      </w:r>
    </w:p>
    <w:p w14:paraId="08DF3727" w14:textId="77777777" w:rsidR="00F754DF" w:rsidRDefault="00000000">
      <w:pPr>
        <w:spacing w:after="80"/>
      </w:pPr>
      <w:r>
        <w:rPr>
          <w:b/>
          <w:bCs/>
        </w:rPr>
        <w:t xml:space="preserve">Problem: </w:t>
      </w:r>
      <w:r>
        <w:t>The per-event consumer writes available_qty directly via a raw stock-registry call; a nightly full snapshot overwrites every SKU at 01:00; a once-a-minute cron compares against 'the last-known Sellaxis value' and corrects mismatches. None of the three coordinate with each other or carry any notion of which update is most recent.</w:t>
      </w:r>
    </w:p>
    <w:p w14:paraId="7653807F" w14:textId="77777777" w:rsidR="00F754DF" w:rsidRDefault="00000000">
      <w:pPr>
        <w:spacing w:after="80"/>
      </w:pPr>
      <w:r>
        <w:rPr>
          <w:b/>
          <w:bCs/>
        </w:rPr>
        <w:t xml:space="preserve">Why it matters here: </w:t>
      </w:r>
      <w:r>
        <w:t>This is a textbook lost-update race condition, and the brief's own production context names the exact failure mode this produces: overlapping full and incremental updates, which the draft's design has no mechanism to resolve correctly — whichever of the three writers runs last wins, regardless of which one reflects the true, current Sellaxis state. The business has stated overselling is a contractual failure; this section of the draft is the most direct path to causing one, and it gets worse, not better, the busier the system is, since busier means more overlapping writes.</w:t>
      </w:r>
    </w:p>
    <w:p w14:paraId="7C758437" w14:textId="77777777" w:rsidR="00F754DF" w:rsidRDefault="00000000">
      <w:pPr>
        <w:spacing w:after="80"/>
      </w:pPr>
      <w:r>
        <w:rPr>
          <w:b/>
          <w:bCs/>
        </w:rPr>
        <w:t xml:space="preserve">Fix: </w:t>
      </w:r>
      <w:r>
        <w:t>Single ownership: every inventory write — from any of the three sources — passes through one consumer and one rule: apply only if the incoming update is provably newer than what's stored (a per-offer version number, which Sellaxis already provides in its inventory feed, is the natural key for this). The nightly snapshot and the minute-cron reconciliation stop writing stock directly and instead emit corrective events through that same single path when they detect drift. This makes the overlapping-update scenario safe by construction rather than by hoping the writers don't collide.</w:t>
      </w:r>
    </w:p>
    <w:p w14:paraId="435E2A64" w14:textId="77777777" w:rsidR="00F754DF" w:rsidRDefault="00000000">
      <w:pPr>
        <w:spacing w:after="240"/>
      </w:pPr>
      <w:r>
        <w:rPr>
          <w:b/>
          <w:bCs/>
          <w:i/>
          <w:iCs/>
        </w:rPr>
        <w:t xml:space="preserve">Verify before sign-off: </w:t>
      </w:r>
      <w:r>
        <w:rPr>
          <w:i/>
          <w:iCs/>
        </w:rPr>
        <w:t>Confirm Sellaxis's inventory feed actually carries a per-offer version or monotonic timestamp on every update path (webhook and poll), not just the nightly snapshot — the ordering rule depends on it being present everywhere.</w:t>
      </w:r>
    </w:p>
    <w:p w14:paraId="0E8D1446"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172F51AE"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663BC352"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554F8204" w14:textId="77777777" w:rsidR="00F754DF" w:rsidRDefault="00000000">
                  <w:pPr>
                    <w:jc w:val="center"/>
                  </w:pPr>
                  <w:r>
                    <w:rPr>
                      <w:b/>
                      <w:bCs/>
                      <w:color w:val="791F1F"/>
                      <w:sz w:val="17"/>
                      <w:szCs w:val="17"/>
                    </w:rPr>
                    <w:t>CRITICAL</w:t>
                  </w:r>
                </w:p>
              </w:tc>
            </w:tr>
          </w:tbl>
          <w:p w14:paraId="1DC101E6" w14:textId="77777777" w:rsidR="00F754DF" w:rsidRDefault="00F754DF"/>
        </w:tc>
        <w:tc>
          <w:tcPr>
            <w:tcW w:w="7960" w:type="dxa"/>
            <w:vAlign w:val="center"/>
          </w:tcPr>
          <w:p w14:paraId="1072979E" w14:textId="77777777" w:rsidR="00F754DF" w:rsidRDefault="00000000">
            <w:r>
              <w:rPr>
                <w:b/>
                <w:bCs/>
                <w:color w:val="1F4E79"/>
                <w:sz w:val="21"/>
                <w:szCs w:val="21"/>
              </w:rPr>
              <w:t xml:space="preserve">C4  </w:t>
            </w:r>
            <w:r>
              <w:rPr>
                <w:b/>
                <w:bCs/>
                <w:sz w:val="21"/>
                <w:szCs w:val="21"/>
              </w:rPr>
              <w:t>The seller dashboard authorizes access using a client-supplied seller_id query parameter</w:t>
            </w:r>
          </w:p>
        </w:tc>
      </w:tr>
    </w:tbl>
    <w:p w14:paraId="0D5D4C6B" w14:textId="77777777" w:rsidR="00F754DF" w:rsidRDefault="00000000">
      <w:pPr>
        <w:spacing w:before="100" w:after="100"/>
      </w:pPr>
      <w:r>
        <w:rPr>
          <w:i/>
          <w:iCs/>
          <w:color w:val="595959"/>
          <w:sz w:val="19"/>
          <w:szCs w:val="19"/>
        </w:rPr>
        <w:t>Draft reference: Section 5, paragraph 2</w:t>
      </w:r>
    </w:p>
    <w:p w14:paraId="4F494DEE" w14:textId="77777777" w:rsidR="00F754DF" w:rsidRDefault="00000000">
      <w:pPr>
        <w:spacing w:after="80"/>
      </w:pPr>
      <w:r>
        <w:rPr>
          <w:b/>
          <w:bCs/>
        </w:rPr>
        <w:t xml:space="preserve">Problem: </w:t>
      </w:r>
      <w:r>
        <w:t>GET /api/orders?seller_id=123, with 123 supplied by the dashboard's own frontend code, filters what a seller sees. The draft's justification is that sellers are authenticated at login, so this is safe.</w:t>
      </w:r>
    </w:p>
    <w:p w14:paraId="4A3F91FB" w14:textId="77777777" w:rsidR="00F754DF" w:rsidRDefault="00000000">
      <w:pPr>
        <w:spacing w:after="80"/>
      </w:pPr>
      <w:r>
        <w:rPr>
          <w:b/>
          <w:bCs/>
        </w:rPr>
        <w:t xml:space="preserve">Why it matters here: </w:t>
      </w:r>
      <w:r>
        <w:t xml:space="preserve">This is an insecure direct object reference (IDOR) — being authenticated proves who is asking, not what they're allowed to see, and the draft's reasoning conflates the two. Any logged-in seller can view any other seller's complete order history simply by changing a number in a request — no exploit tooling required, just a browser's address bar or developer </w:t>
      </w:r>
      <w:r>
        <w:lastRenderedPageBreak/>
        <w:t>tools. In a multi-seller marketplace, every seller is a meaningfully adversarial party to every other seller (they're competitors), which makes this both highly likely to be discovered by an ordinary curious user and seriously damaging when it is — leaking another distributor's order volume, pricing, and customer relationships is a direct competitive and contractual harm, and is exactly the 'leak a seller's data' failure the business says must never happen.</w:t>
      </w:r>
    </w:p>
    <w:p w14:paraId="03D020F4" w14:textId="77777777" w:rsidR="00F754DF" w:rsidRDefault="00000000">
      <w:pPr>
        <w:spacing w:after="240"/>
      </w:pPr>
      <w:r>
        <w:rPr>
          <w:b/>
          <w:bCs/>
        </w:rPr>
        <w:t xml:space="preserve">Fix: </w:t>
      </w:r>
      <w:r>
        <w:t>Derive seller_id server-side from the authenticated session or token on every request; never accept or trust a client-supplied seller_id for authorization purposes. This check belongs in one shared data-access layer that every seller-scoped endpoint goes through, not re-implemented per endpoint, so a future endpoint can't accidentally skip it.</w:t>
      </w:r>
    </w:p>
    <w:p w14:paraId="628CF127"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713C6650"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771BC767"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540C4E11" w14:textId="77777777" w:rsidR="00F754DF" w:rsidRDefault="00000000">
                  <w:pPr>
                    <w:jc w:val="center"/>
                  </w:pPr>
                  <w:r>
                    <w:rPr>
                      <w:b/>
                      <w:bCs/>
                      <w:color w:val="791F1F"/>
                      <w:sz w:val="17"/>
                      <w:szCs w:val="17"/>
                    </w:rPr>
                    <w:t>CRITICAL</w:t>
                  </w:r>
                </w:p>
              </w:tc>
            </w:tr>
          </w:tbl>
          <w:p w14:paraId="7FBDA377" w14:textId="77777777" w:rsidR="00F754DF" w:rsidRDefault="00F754DF"/>
        </w:tc>
        <w:tc>
          <w:tcPr>
            <w:tcW w:w="7960" w:type="dxa"/>
            <w:vAlign w:val="center"/>
          </w:tcPr>
          <w:p w14:paraId="2934FF8C" w14:textId="77777777" w:rsidR="00F754DF" w:rsidRDefault="00000000">
            <w:r>
              <w:rPr>
                <w:b/>
                <w:bCs/>
                <w:color w:val="1F4E79"/>
                <w:sz w:val="21"/>
                <w:szCs w:val="21"/>
              </w:rPr>
              <w:t xml:space="preserve">C5  </w:t>
            </w:r>
            <w:r>
              <w:rPr>
                <w:b/>
                <w:bCs/>
                <w:sz w:val="21"/>
                <w:szCs w:val="21"/>
              </w:rPr>
              <w:t>Seller bank/payout details are stored in the general seller table 'for convenience,' with no stated access control or encryption</w:t>
            </w:r>
          </w:p>
        </w:tc>
      </w:tr>
    </w:tbl>
    <w:p w14:paraId="352DFDB4" w14:textId="77777777" w:rsidR="00F754DF" w:rsidRDefault="00000000">
      <w:pPr>
        <w:spacing w:before="100" w:after="100"/>
      </w:pPr>
      <w:r>
        <w:rPr>
          <w:i/>
          <w:iCs/>
          <w:color w:val="595959"/>
          <w:sz w:val="19"/>
          <w:szCs w:val="19"/>
        </w:rPr>
        <w:t>Draft reference: Section 10, last sentence</w:t>
      </w:r>
    </w:p>
    <w:p w14:paraId="406AB8EF" w14:textId="77777777" w:rsidR="00F754DF" w:rsidRDefault="00000000">
      <w:pPr>
        <w:spacing w:after="80"/>
      </w:pPr>
      <w:r>
        <w:rPr>
          <w:b/>
          <w:bCs/>
        </w:rPr>
        <w:t xml:space="preserve">Problem: </w:t>
      </w:r>
      <w:r>
        <w:t>Bank details for payout sit as plain columns in the same table as general seller profile data.</w:t>
      </w:r>
    </w:p>
    <w:p w14:paraId="59457ACB" w14:textId="77777777" w:rsidR="00F754DF" w:rsidRDefault="00000000">
      <w:pPr>
        <w:spacing w:after="80"/>
      </w:pPr>
      <w:r>
        <w:rPr>
          <w:b/>
          <w:bCs/>
        </w:rPr>
        <w:t xml:space="preserve">Why it matters here: </w:t>
      </w:r>
      <w:r>
        <w:t>Convenience is the wrong thing to optimize for sensitive financial data. Any future bug in a seller-facing feature — an overly broad SELECT, an export endpoint, an admin screen with loose field-level access control — now has the blast radius of leaking bank account details, not just a name and address. This is a direct path to the 'leak a seller's data' failure, made worse rather than better by how casually the draft treats it ('for convenience' is doing a lot of unexamined work in that sentence).</w:t>
      </w:r>
    </w:p>
    <w:p w14:paraId="5984B302" w14:textId="77777777" w:rsidR="00F754DF" w:rsidRDefault="00000000">
      <w:pPr>
        <w:spacing w:after="80"/>
      </w:pPr>
      <w:r>
        <w:rPr>
          <w:b/>
          <w:bCs/>
        </w:rPr>
        <w:t xml:space="preserve">Fix: </w:t>
      </w:r>
      <w:r>
        <w:t>Move payout details into a separate, access-restricted, encrypted-at-rest store, never returned by a general seller-profile query. Better still: tokenize payout details through whichever payment or payout provider Forgeline already uses, so raw bank details are never stored in-house at all — ask whether that's available before building in-house encrypted storage as a fallback.</w:t>
      </w:r>
    </w:p>
    <w:p w14:paraId="52D437D4" w14:textId="77777777" w:rsidR="00F754DF" w:rsidRDefault="00000000">
      <w:pPr>
        <w:spacing w:after="240"/>
      </w:pPr>
      <w:r>
        <w:rPr>
          <w:b/>
          <w:bCs/>
          <w:i/>
          <w:iCs/>
        </w:rPr>
        <w:t xml:space="preserve">Verify before sign-off: </w:t>
      </w:r>
      <w:r>
        <w:rPr>
          <w:i/>
          <w:iCs/>
        </w:rPr>
        <w:t>Confirm what compliance regime (PCI scope, regional financial-data regulation for both India and Germany given the two-market context) applies to payout data, since that determines whether encrypted storage is sufficient or a fuller tokenized-payout integration is required.</w:t>
      </w:r>
    </w:p>
    <w:p w14:paraId="326EB3A2"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3E012091"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56455336"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5BEE0BBE" w14:textId="77777777" w:rsidR="00F754DF" w:rsidRDefault="00000000">
                  <w:pPr>
                    <w:jc w:val="center"/>
                  </w:pPr>
                  <w:r>
                    <w:rPr>
                      <w:b/>
                      <w:bCs/>
                      <w:color w:val="791F1F"/>
                      <w:sz w:val="17"/>
                      <w:szCs w:val="17"/>
                    </w:rPr>
                    <w:t>CRITICAL</w:t>
                  </w:r>
                </w:p>
              </w:tc>
            </w:tr>
          </w:tbl>
          <w:p w14:paraId="3C961AA1" w14:textId="77777777" w:rsidR="00F754DF" w:rsidRDefault="00F754DF"/>
        </w:tc>
        <w:tc>
          <w:tcPr>
            <w:tcW w:w="7960" w:type="dxa"/>
            <w:vAlign w:val="center"/>
          </w:tcPr>
          <w:p w14:paraId="65886E6C" w14:textId="77777777" w:rsidR="00F754DF" w:rsidRDefault="00000000">
            <w:r>
              <w:rPr>
                <w:b/>
                <w:bCs/>
                <w:color w:val="1F4E79"/>
                <w:sz w:val="21"/>
                <w:szCs w:val="21"/>
              </w:rPr>
              <w:t xml:space="preserve">C6  </w:t>
            </w:r>
            <w:r>
              <w:rPr>
                <w:b/>
                <w:bCs/>
                <w:sz w:val="21"/>
                <w:szCs w:val="21"/>
              </w:rPr>
              <w:t>The public webhook endpoint has no stated authentication or signature verification</w:t>
            </w:r>
          </w:p>
        </w:tc>
      </w:tr>
    </w:tbl>
    <w:p w14:paraId="4C4B33C4" w14:textId="77777777" w:rsidR="00F754DF" w:rsidRDefault="00000000">
      <w:pPr>
        <w:spacing w:before="100" w:after="100"/>
      </w:pPr>
      <w:r>
        <w:rPr>
          <w:i/>
          <w:iCs/>
          <w:color w:val="595959"/>
          <w:sz w:val="19"/>
          <w:szCs w:val="19"/>
        </w:rPr>
        <w:t>Draft reference: Section 10, second sentence; Section 2, paragraph 1</w:t>
      </w:r>
    </w:p>
    <w:p w14:paraId="7C0DBEEA" w14:textId="77777777" w:rsidR="00F754DF" w:rsidRDefault="00000000">
      <w:pPr>
        <w:spacing w:after="80"/>
      </w:pPr>
      <w:r>
        <w:rPr>
          <w:b/>
          <w:bCs/>
        </w:rPr>
        <w:t xml:space="preserve">Problem: </w:t>
      </w:r>
      <w:r>
        <w:t>The draft notes the webhook endpoint is public so Sellaxis can reach it, with no mention of verifying that a given request actually came from Sellaxis.</w:t>
      </w:r>
    </w:p>
    <w:p w14:paraId="3662199C" w14:textId="77777777" w:rsidR="00F754DF" w:rsidRDefault="00000000">
      <w:pPr>
        <w:spacing w:after="80"/>
      </w:pPr>
      <w:r>
        <w:rPr>
          <w:b/>
          <w:bCs/>
        </w:rPr>
        <w:t xml:space="preserve">Why it matters here: </w:t>
      </w:r>
      <w:r>
        <w:t xml:space="preserve">Public and unauthenticated are being treated as the same thing, and they aren't — a public endpoint that requires a valid signature is reachable by Sellaxis and effectively unreachable by anyone else. Without that check, anyone who finds the URL can post fabricated orders, fake cancellations, or false inventory updates, and every downstream mechanism in this design (dedup, the order consumer, inventory sync) will process a forged event exactly as if it were genuine, because none of them have any concept of authenticity — only of uniqueness. </w:t>
      </w:r>
      <w:r>
        <w:lastRenderedPageBreak/>
        <w:t>This sits upstream of every other finding in this document: if this is wrong, no other control downstream can be trusted to only see real Sellaxis data.</w:t>
      </w:r>
    </w:p>
    <w:p w14:paraId="6C7D4039" w14:textId="77777777" w:rsidR="00F754DF" w:rsidRDefault="00000000">
      <w:pPr>
        <w:spacing w:after="80"/>
      </w:pPr>
      <w:r>
        <w:rPr>
          <w:b/>
          <w:bCs/>
        </w:rPr>
        <w:t xml:space="preserve">Fix: </w:t>
      </w:r>
      <w:r>
        <w:t>Require a signature (HMAC or whatever mechanism Sellaxis supports) on every inbound webhook, verified before the event is durably recorded or processed in any way. Reject anything that doesn't verify, with no partial processing.</w:t>
      </w:r>
    </w:p>
    <w:p w14:paraId="1C15C0A6" w14:textId="77777777" w:rsidR="00F754DF" w:rsidRDefault="00000000">
      <w:pPr>
        <w:spacing w:after="240"/>
      </w:pPr>
      <w:r>
        <w:rPr>
          <w:b/>
          <w:bCs/>
          <w:i/>
          <w:iCs/>
        </w:rPr>
        <w:t xml:space="preserve">Verify before sign-off: </w:t>
      </w:r>
      <w:r>
        <w:rPr>
          <w:i/>
          <w:iCs/>
        </w:rPr>
        <w:t>Confirm what signature mechanism Sellaxis actually offers; if none exists today, this needs to be raised with Sellaxis directly, and an IP-allowlist should be treated as a materially weaker interim mitigation, not an equivalent substitute.</w:t>
      </w:r>
    </w:p>
    <w:p w14:paraId="098C5030"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688FD9B9"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2BE12228"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66ECF789" w14:textId="77777777" w:rsidR="00F754DF" w:rsidRDefault="00000000">
                  <w:pPr>
                    <w:jc w:val="center"/>
                  </w:pPr>
                  <w:r>
                    <w:rPr>
                      <w:b/>
                      <w:bCs/>
                      <w:color w:val="791F1F"/>
                      <w:sz w:val="17"/>
                      <w:szCs w:val="17"/>
                    </w:rPr>
                    <w:t>CRITICAL</w:t>
                  </w:r>
                </w:p>
              </w:tc>
            </w:tr>
          </w:tbl>
          <w:p w14:paraId="76E814C5" w14:textId="77777777" w:rsidR="00F754DF" w:rsidRDefault="00F754DF"/>
        </w:tc>
        <w:tc>
          <w:tcPr>
            <w:tcW w:w="7960" w:type="dxa"/>
            <w:vAlign w:val="center"/>
          </w:tcPr>
          <w:p w14:paraId="4071CB45" w14:textId="77777777" w:rsidR="00F754DF" w:rsidRDefault="00000000">
            <w:r>
              <w:rPr>
                <w:b/>
                <w:bCs/>
                <w:color w:val="1F4E79"/>
                <w:sz w:val="21"/>
                <w:szCs w:val="21"/>
              </w:rPr>
              <w:t xml:space="preserve">C7  </w:t>
            </w:r>
            <w:r>
              <w:rPr>
                <w:b/>
                <w:bCs/>
                <w:sz w:val="21"/>
                <w:szCs w:val="21"/>
              </w:rPr>
              <w:t>RPO 0 is claimed but the storage design (async replica, nightly backups) cannot deliver it</w:t>
            </w:r>
          </w:p>
        </w:tc>
      </w:tr>
    </w:tbl>
    <w:p w14:paraId="71A08F3B" w14:textId="77777777" w:rsidR="00F754DF" w:rsidRDefault="00000000">
      <w:pPr>
        <w:spacing w:before="100" w:after="100"/>
      </w:pPr>
      <w:r>
        <w:rPr>
          <w:i/>
          <w:iCs/>
          <w:color w:val="595959"/>
          <w:sz w:val="19"/>
          <w:szCs w:val="19"/>
        </w:rPr>
        <w:t>Draft reference: Section 1 (stated goal); Section 7 (storage design)</w:t>
      </w:r>
    </w:p>
    <w:p w14:paraId="37A3C265" w14:textId="77777777" w:rsidR="00F754DF" w:rsidRDefault="00000000">
      <w:pPr>
        <w:spacing w:after="80"/>
      </w:pPr>
      <w:r>
        <w:rPr>
          <w:b/>
          <w:bCs/>
        </w:rPr>
        <w:t xml:space="preserve">Problem: </w:t>
      </w:r>
      <w:r>
        <w:t>The document's stated design goal is RPO 0 / RTO 5 minutes. The storage section then specifies a single primary with one asynchronous read replica and nightly logical backups as the mechanism for meeting that goal.</w:t>
      </w:r>
    </w:p>
    <w:p w14:paraId="20656F31" w14:textId="77777777" w:rsidR="00F754DF" w:rsidRDefault="00000000">
      <w:pPr>
        <w:spacing w:after="80"/>
      </w:pPr>
      <w:r>
        <w:rPr>
          <w:b/>
          <w:bCs/>
        </w:rPr>
        <w:t xml:space="preserve">Why it matters here: </w:t>
      </w:r>
      <w:r>
        <w:t>Asynchronous replication acknowledges a write as committed before the replica has confirmed receiving it. If the primary fails at that moment, anything not yet replicated is gone when the replica is promoted — that gap is what RPO measures, and for async replication it is never zero, only small under normal conditions. This system captures payment and computes settlement; an RPO gap that's a minor inconvenience for a content site is a real-money problem here, since a lost write in that gap could be a captured payment with no order record (compounding finding C1) or a settlement input that silently never happened. Stating RPO 0 as a contractual or design commitment while the underlying mechanism can't deliver it is the kind of gap that surfaces during an actual incident, which is the worst possible time to discover it.</w:t>
      </w:r>
    </w:p>
    <w:p w14:paraId="6E675DC0" w14:textId="77777777" w:rsidR="00F754DF" w:rsidRDefault="00000000">
      <w:pPr>
        <w:spacing w:after="240"/>
      </w:pPr>
      <w:r>
        <w:rPr>
          <w:b/>
          <w:bCs/>
        </w:rPr>
        <w:t xml:space="preserve">Fix: </w:t>
      </w:r>
      <w:r>
        <w:t>Either adopt semi-synchronous replication (the primary waits for at least one replica's acknowledgment before confirming the commit — standard MySQL configuration, single-digit-millisecond cost) so RPO-near-zero is genuinely achievable, or explicitly restate the target as a non-zero RPO bounded by measured replication lag and get that revised number agreed with the business rather than carrying a number the architecture doesn't support.</w:t>
      </w:r>
    </w:p>
    <w:p w14:paraId="0E847C60"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28778378"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314B3970"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0BA41877" w14:textId="77777777" w:rsidR="00F754DF" w:rsidRDefault="00000000">
                  <w:pPr>
                    <w:jc w:val="center"/>
                  </w:pPr>
                  <w:r>
                    <w:rPr>
                      <w:b/>
                      <w:bCs/>
                      <w:color w:val="791F1F"/>
                      <w:sz w:val="17"/>
                      <w:szCs w:val="17"/>
                    </w:rPr>
                    <w:t>CRITICAL</w:t>
                  </w:r>
                </w:p>
              </w:tc>
            </w:tr>
          </w:tbl>
          <w:p w14:paraId="2DE75DF9" w14:textId="77777777" w:rsidR="00F754DF" w:rsidRDefault="00F754DF"/>
        </w:tc>
        <w:tc>
          <w:tcPr>
            <w:tcW w:w="7960" w:type="dxa"/>
            <w:vAlign w:val="center"/>
          </w:tcPr>
          <w:p w14:paraId="200CDC98" w14:textId="77777777" w:rsidR="00F754DF" w:rsidRDefault="00000000">
            <w:r>
              <w:rPr>
                <w:b/>
                <w:bCs/>
                <w:color w:val="1F4E79"/>
                <w:sz w:val="21"/>
                <w:szCs w:val="21"/>
              </w:rPr>
              <w:t xml:space="preserve">C8  </w:t>
            </w:r>
            <w:r>
              <w:rPr>
                <w:b/>
                <w:bCs/>
                <w:sz w:val="21"/>
                <w:szCs w:val="21"/>
              </w:rPr>
              <w:t>Order lines are auto-accepted unconditionally with no inventory check</w:t>
            </w:r>
          </w:p>
        </w:tc>
      </w:tr>
    </w:tbl>
    <w:p w14:paraId="0BFB5AAE" w14:textId="77777777" w:rsidR="00F754DF" w:rsidRDefault="00000000">
      <w:pPr>
        <w:spacing w:before="100" w:after="100"/>
      </w:pPr>
      <w:r>
        <w:rPr>
          <w:i/>
          <w:iCs/>
          <w:color w:val="595959"/>
          <w:sz w:val="19"/>
          <w:szCs w:val="19"/>
        </w:rPr>
        <w:t>Draft reference: Section 3, paragraph 3</w:t>
      </w:r>
    </w:p>
    <w:p w14:paraId="44D26EA5" w14:textId="77777777" w:rsidR="00F754DF" w:rsidRDefault="00000000">
      <w:pPr>
        <w:spacing w:after="80"/>
      </w:pPr>
      <w:r>
        <w:rPr>
          <w:b/>
          <w:bCs/>
        </w:rPr>
        <w:t xml:space="preserve">Problem: </w:t>
      </w:r>
      <w:r>
        <w:t>All lines on a multi-seller order are accepted back to Sellaxis automatically, with no check against current stock, so fulfilment can begin immediately.</w:t>
      </w:r>
    </w:p>
    <w:p w14:paraId="57EB9AF0" w14:textId="77777777" w:rsidR="00F754DF" w:rsidRDefault="00000000">
      <w:pPr>
        <w:spacing w:after="80"/>
      </w:pPr>
      <w:r>
        <w:rPr>
          <w:b/>
          <w:bCs/>
        </w:rPr>
        <w:t xml:space="preserve">Why it matters here: </w:t>
      </w:r>
      <w:r>
        <w:t>Auto-accepting a line for stock that's already gone guarantees a cancellation after the buyer and seller have both already been told the order is confirmed — the exact oversell-and-walk-back sequence the business calls a contractual failure, and one this draft's design makes inevitable rather than merely possible, since there's no check standing between 'order arrived' and 'accepted.'</w:t>
      </w:r>
    </w:p>
    <w:p w14:paraId="04A3D1B7" w14:textId="77777777" w:rsidR="00F754DF" w:rsidRDefault="00000000">
      <w:pPr>
        <w:spacing w:after="240"/>
      </w:pPr>
      <w:r>
        <w:rPr>
          <w:b/>
          <w:bCs/>
        </w:rPr>
        <w:lastRenderedPageBreak/>
        <w:t xml:space="preserve">Fix: </w:t>
      </w:r>
      <w:r>
        <w:t>Check current salable quantity (already in MySQL or the inventory store by the time the order consumer runs) before accepting each line. Route anything that can't currently be fulfilled to an exception path instead of blindly accepting it.</w:t>
      </w:r>
    </w:p>
    <w:p w14:paraId="1BB11BDF"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50CFC226"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76EFEA7A" w14:textId="77777777">
              <w:tblPrEx>
                <w:tblCellMar>
                  <w:top w:w="0" w:type="dxa"/>
                  <w:bottom w:w="0" w:type="dxa"/>
                </w:tblCellMar>
              </w:tblPrEx>
              <w:tc>
                <w:tcPr>
                  <w:tcW w:w="1400" w:type="dxa"/>
                  <w:tcBorders>
                    <w:top w:val="single" w:sz="4" w:space="0" w:color="791F1F"/>
                    <w:left w:val="single" w:sz="4" w:space="0" w:color="791F1F"/>
                    <w:bottom w:val="single" w:sz="4" w:space="0" w:color="791F1F"/>
                    <w:right w:val="single" w:sz="4" w:space="0" w:color="791F1F"/>
                  </w:tcBorders>
                  <w:shd w:val="clear" w:color="auto" w:fill="FCEBEB"/>
                  <w:tcMar>
                    <w:top w:w="40" w:type="dxa"/>
                    <w:left w:w="100" w:type="dxa"/>
                    <w:bottom w:w="40" w:type="dxa"/>
                    <w:right w:w="100" w:type="dxa"/>
                  </w:tcMar>
                </w:tcPr>
                <w:p w14:paraId="7486EAF0" w14:textId="77777777" w:rsidR="00F754DF" w:rsidRDefault="00000000">
                  <w:pPr>
                    <w:jc w:val="center"/>
                  </w:pPr>
                  <w:r>
                    <w:rPr>
                      <w:b/>
                      <w:bCs/>
                      <w:color w:val="791F1F"/>
                      <w:sz w:val="17"/>
                      <w:szCs w:val="17"/>
                    </w:rPr>
                    <w:t>CRITICAL</w:t>
                  </w:r>
                </w:p>
              </w:tc>
            </w:tr>
          </w:tbl>
          <w:p w14:paraId="6D033CBC" w14:textId="77777777" w:rsidR="00F754DF" w:rsidRDefault="00F754DF"/>
        </w:tc>
        <w:tc>
          <w:tcPr>
            <w:tcW w:w="7960" w:type="dxa"/>
            <w:vAlign w:val="center"/>
          </w:tcPr>
          <w:p w14:paraId="303DE039" w14:textId="77777777" w:rsidR="00F754DF" w:rsidRDefault="00000000">
            <w:r>
              <w:rPr>
                <w:b/>
                <w:bCs/>
                <w:color w:val="1F4E79"/>
                <w:sz w:val="21"/>
                <w:szCs w:val="21"/>
              </w:rPr>
              <w:t xml:space="preserve">C9  </w:t>
            </w:r>
            <w:r>
              <w:rPr>
                <w:b/>
                <w:bCs/>
                <w:sz w:val="21"/>
                <w:szCs w:val="21"/>
              </w:rPr>
              <w:t>Settlement timestamps are stored and compared as raw, unnormalized strings across two real timezones</w:t>
            </w:r>
          </w:p>
        </w:tc>
      </w:tr>
    </w:tbl>
    <w:p w14:paraId="4D5804AB" w14:textId="77777777" w:rsidR="00F754DF" w:rsidRDefault="00000000">
      <w:pPr>
        <w:spacing w:before="100" w:after="100"/>
      </w:pPr>
      <w:r>
        <w:rPr>
          <w:i/>
          <w:iCs/>
          <w:color w:val="595959"/>
          <w:sz w:val="19"/>
          <w:szCs w:val="19"/>
        </w:rPr>
        <w:t>Draft reference: Section 6, last paragraph</w:t>
      </w:r>
    </w:p>
    <w:p w14:paraId="44B7FE4B" w14:textId="77777777" w:rsidR="00F754DF" w:rsidRDefault="00000000">
      <w:pPr>
        <w:spacing w:after="80"/>
      </w:pPr>
      <w:r>
        <w:rPr>
          <w:b/>
          <w:bCs/>
        </w:rPr>
        <w:t xml:space="preserve">Problem: </w:t>
      </w:r>
      <w:r>
        <w:t>All timestamps from Sellaxis are stored as-is and compared directly, with no timezone normalization.</w:t>
      </w:r>
    </w:p>
    <w:p w14:paraId="61A36BD8" w14:textId="77777777" w:rsidR="00F754DF" w:rsidRDefault="00000000">
      <w:pPr>
        <w:spacing w:after="80"/>
      </w:pPr>
      <w:r>
        <w:rPr>
          <w:b/>
          <w:bCs/>
        </w:rPr>
        <w:t xml:space="preserve">Why it matters here: </w:t>
      </w:r>
      <w:r>
        <w:t>Forgeline operates in India and Germany — two genuinely different timezones, not a hypothetical concern. A daily settlement cutoff computed by directly comparing raw, differently-zoned timestamp strings will misattribute orders at the boundary of the settlement window — an order that should land in one day's run lands in the next, or vice versa. Given the business's own stated requirement of 100% settlement accuracy to the minor unit, a non-zero rate of misattributed orders is a direct SLA breach, not a rounding nuance — and unlike a rounding error, this kind of misattribution is exactly the silent-and-plausible-looking kind of bug that can run for a long time before anyone notices a seller was paid a day early or a day late.</w:t>
      </w:r>
    </w:p>
    <w:p w14:paraId="556D2D30" w14:textId="77777777" w:rsidR="00F754DF" w:rsidRDefault="00000000">
      <w:pPr>
        <w:spacing w:after="240"/>
      </w:pPr>
      <w:r>
        <w:rPr>
          <w:b/>
          <w:bCs/>
        </w:rPr>
        <w:t xml:space="preserve">Fix: </w:t>
      </w:r>
      <w:r>
        <w:t>Normalize every incoming timestamp to UTC at ingestion, immediately, preserving the original raw value and its asserted offset for audit purposes. Compute the settlement cutoff as a UTC boundary, never by comparing raw local-time strings.</w:t>
      </w:r>
    </w:p>
    <w:p w14:paraId="586B5D9B" w14:textId="77777777" w:rsidR="00F754DF" w:rsidRDefault="00F754DF">
      <w:pPr>
        <w:pBdr>
          <w:bottom w:val="single" w:sz="4" w:space="6" w:color="D9D9D9"/>
        </w:pBdr>
        <w:spacing w:after="240"/>
      </w:pPr>
    </w:p>
    <w:p w14:paraId="29F2F4FA" w14:textId="77777777" w:rsidR="00F754DF" w:rsidRDefault="00000000">
      <w:r>
        <w:br w:type="page"/>
      </w:r>
    </w:p>
    <w:p w14:paraId="68ACE359" w14:textId="77777777" w:rsidR="00F754DF" w:rsidRDefault="00000000">
      <w:pPr>
        <w:pStyle w:val="Heading1"/>
      </w:pPr>
      <w:r>
        <w:lastRenderedPageBreak/>
        <w:t>4. High Findings</w:t>
      </w:r>
    </w:p>
    <w:p w14:paraId="4B9AC6F1" w14:textId="77777777" w:rsidR="00F754DF" w:rsidRDefault="00000000">
      <w:pPr>
        <w:spacing w:after="160" w:line="276" w:lineRule="auto"/>
      </w:pPr>
      <w:r>
        <w:t>Data integrity damage that's recoverable but costly, or availability risk against the stated service levels. Serious, but distinguished from Section 3 by being either conditional on a second event occurring, bounded in scope, or detectable and fixable before compounding.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2393D926"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1A20AC11" w14:textId="77777777">
              <w:tblPrEx>
                <w:tblCellMar>
                  <w:top w:w="0" w:type="dxa"/>
                  <w:bottom w:w="0" w:type="dxa"/>
                </w:tblCellMar>
              </w:tblPrEx>
              <w:tc>
                <w:tcPr>
                  <w:tcW w:w="1400" w:type="dxa"/>
                  <w:tcBorders>
                    <w:top w:val="single" w:sz="4" w:space="0" w:color="8A6D00"/>
                    <w:left w:val="single" w:sz="4" w:space="0" w:color="8A6D00"/>
                    <w:bottom w:val="single" w:sz="4" w:space="0" w:color="8A6D00"/>
                    <w:right w:val="single" w:sz="4" w:space="0" w:color="8A6D00"/>
                  </w:tcBorders>
                  <w:shd w:val="clear" w:color="auto" w:fill="FAEEDA"/>
                  <w:tcMar>
                    <w:top w:w="40" w:type="dxa"/>
                    <w:left w:w="100" w:type="dxa"/>
                    <w:bottom w:w="40" w:type="dxa"/>
                    <w:right w:w="100" w:type="dxa"/>
                  </w:tcMar>
                </w:tcPr>
                <w:p w14:paraId="0BCEDDD3" w14:textId="77777777" w:rsidR="00F754DF" w:rsidRDefault="00000000">
                  <w:pPr>
                    <w:jc w:val="center"/>
                  </w:pPr>
                  <w:r>
                    <w:rPr>
                      <w:b/>
                      <w:bCs/>
                      <w:color w:val="8A6D00"/>
                      <w:sz w:val="17"/>
                      <w:szCs w:val="17"/>
                    </w:rPr>
                    <w:t>HIGH</w:t>
                  </w:r>
                </w:p>
              </w:tc>
            </w:tr>
          </w:tbl>
          <w:p w14:paraId="7275B56E" w14:textId="77777777" w:rsidR="00F754DF" w:rsidRDefault="00F754DF"/>
        </w:tc>
        <w:tc>
          <w:tcPr>
            <w:tcW w:w="7960" w:type="dxa"/>
            <w:vAlign w:val="center"/>
          </w:tcPr>
          <w:p w14:paraId="28BE3213" w14:textId="77777777" w:rsidR="00F754DF" w:rsidRDefault="00000000">
            <w:r>
              <w:rPr>
                <w:b/>
                <w:bCs/>
                <w:color w:val="1F4E79"/>
                <w:sz w:val="21"/>
                <w:szCs w:val="21"/>
              </w:rPr>
              <w:t xml:space="preserve">H1  </w:t>
            </w:r>
            <w:r>
              <w:rPr>
                <w:b/>
                <w:bCs/>
                <w:sz w:val="21"/>
                <w:szCs w:val="21"/>
              </w:rPr>
              <w:t>Order/line status is written straight onto the order with no validation against its current state</w:t>
            </w:r>
          </w:p>
        </w:tc>
      </w:tr>
    </w:tbl>
    <w:p w14:paraId="79FE3CE6" w14:textId="77777777" w:rsidR="00F754DF" w:rsidRDefault="00000000">
      <w:pPr>
        <w:spacing w:before="100" w:after="100"/>
      </w:pPr>
      <w:r>
        <w:rPr>
          <w:i/>
          <w:iCs/>
          <w:color w:val="595959"/>
          <w:sz w:val="19"/>
          <w:szCs w:val="19"/>
        </w:rPr>
        <w:t>Draft reference: Section 3, paragraph 4</w:t>
      </w:r>
    </w:p>
    <w:p w14:paraId="2973494E" w14:textId="77777777" w:rsidR="00F754DF" w:rsidRDefault="00000000">
      <w:pPr>
        <w:spacing w:after="80"/>
      </w:pPr>
      <w:r>
        <w:rPr>
          <w:b/>
          <w:bCs/>
        </w:rPr>
        <w:t xml:space="preserve">Problem: </w:t>
      </w:r>
      <w:r>
        <w:t>Incoming status values (accepted, shipped, cancelled) are applied directly as they arrive, with no check that the transition makes sense from the order's current recorded state.</w:t>
      </w:r>
    </w:p>
    <w:p w14:paraId="46CFF1A7" w14:textId="77777777" w:rsidR="00F754DF" w:rsidRDefault="00000000">
      <w:pPr>
        <w:spacing w:after="80"/>
      </w:pPr>
      <w:r>
        <w:rPr>
          <w:b/>
          <w:bCs/>
        </w:rPr>
        <w:t xml:space="preserve">Why it matters here: </w:t>
      </w:r>
      <w:r>
        <w:t>Webhook delivery in this design has no ordering guarantee. A 'shipped' event arriving before its corresponding 'accepted' event — entirely possible under at-least-once, no-ordering delivery — would overwrite a more-advanced in-progress state with 'shipped' regardless of whether acceptance, and by extension payment capture, ever actually happened correctly. This is ranked High rather than Critical because the corruption itself is usually detectable (an order with an impossible status history) and a human can untangle it, but it's one bad interaction away from compounding into a Critical finding — e.g. triggering a capture or a settlement entry against a line that was never properly accepted.</w:t>
      </w:r>
    </w:p>
    <w:p w14:paraId="327675FA" w14:textId="77777777" w:rsidR="00F754DF" w:rsidRDefault="00000000">
      <w:pPr>
        <w:spacing w:after="240"/>
      </w:pPr>
      <w:r>
        <w:rPr>
          <w:b/>
          <w:bCs/>
        </w:rPr>
        <w:t xml:space="preserve">Fix: </w:t>
      </w:r>
      <w:r>
        <w:t>Model status as an explicit state machine with defined valid transitions per current state. An event proposing an invalid transition is held for review (or for a short bounded wait, in case a missing predecessor event is just delayed) rather than applied blindly or silently discarded.</w:t>
      </w:r>
    </w:p>
    <w:p w14:paraId="0598B74A"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23102B66"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26E0560E" w14:textId="77777777">
              <w:tblPrEx>
                <w:tblCellMar>
                  <w:top w:w="0" w:type="dxa"/>
                  <w:bottom w:w="0" w:type="dxa"/>
                </w:tblCellMar>
              </w:tblPrEx>
              <w:tc>
                <w:tcPr>
                  <w:tcW w:w="1400" w:type="dxa"/>
                  <w:tcBorders>
                    <w:top w:val="single" w:sz="4" w:space="0" w:color="8A6D00"/>
                    <w:left w:val="single" w:sz="4" w:space="0" w:color="8A6D00"/>
                    <w:bottom w:val="single" w:sz="4" w:space="0" w:color="8A6D00"/>
                    <w:right w:val="single" w:sz="4" w:space="0" w:color="8A6D00"/>
                  </w:tcBorders>
                  <w:shd w:val="clear" w:color="auto" w:fill="FAEEDA"/>
                  <w:tcMar>
                    <w:top w:w="40" w:type="dxa"/>
                    <w:left w:w="100" w:type="dxa"/>
                    <w:bottom w:w="40" w:type="dxa"/>
                    <w:right w:w="100" w:type="dxa"/>
                  </w:tcMar>
                </w:tcPr>
                <w:p w14:paraId="4EBC3F97" w14:textId="77777777" w:rsidR="00F754DF" w:rsidRDefault="00000000">
                  <w:pPr>
                    <w:jc w:val="center"/>
                  </w:pPr>
                  <w:r>
                    <w:rPr>
                      <w:b/>
                      <w:bCs/>
                      <w:color w:val="8A6D00"/>
                      <w:sz w:val="17"/>
                      <w:szCs w:val="17"/>
                    </w:rPr>
                    <w:t>HIGH</w:t>
                  </w:r>
                </w:p>
              </w:tc>
            </w:tr>
          </w:tbl>
          <w:p w14:paraId="07521488" w14:textId="77777777" w:rsidR="00F754DF" w:rsidRDefault="00F754DF"/>
        </w:tc>
        <w:tc>
          <w:tcPr>
            <w:tcW w:w="7960" w:type="dxa"/>
            <w:vAlign w:val="center"/>
          </w:tcPr>
          <w:p w14:paraId="72EA56C8" w14:textId="77777777" w:rsidR="00F754DF" w:rsidRDefault="00000000">
            <w:r>
              <w:rPr>
                <w:b/>
                <w:bCs/>
                <w:color w:val="1F4E79"/>
                <w:sz w:val="21"/>
                <w:szCs w:val="21"/>
              </w:rPr>
              <w:t xml:space="preserve">H2  </w:t>
            </w:r>
            <w:r>
              <w:rPr>
                <w:b/>
                <w:bCs/>
                <w:sz w:val="21"/>
                <w:szCs w:val="21"/>
              </w:rPr>
              <w:t>Sellaxis's offer SKU is used directly as the Magento SKU, with no mapping table</w:t>
            </w:r>
          </w:p>
        </w:tc>
      </w:tr>
    </w:tbl>
    <w:p w14:paraId="3E5D9B88" w14:textId="77777777" w:rsidR="00F754DF" w:rsidRDefault="00000000">
      <w:pPr>
        <w:spacing w:before="100" w:after="100"/>
      </w:pPr>
      <w:r>
        <w:rPr>
          <w:i/>
          <w:iCs/>
          <w:color w:val="595959"/>
          <w:sz w:val="19"/>
          <w:szCs w:val="19"/>
        </w:rPr>
        <w:t>Draft reference: Section 4, last paragraph</w:t>
      </w:r>
    </w:p>
    <w:p w14:paraId="28248214" w14:textId="77777777" w:rsidR="00F754DF" w:rsidRDefault="00000000">
      <w:pPr>
        <w:spacing w:after="80"/>
      </w:pPr>
      <w:r>
        <w:rPr>
          <w:b/>
          <w:bCs/>
        </w:rPr>
        <w:t xml:space="preserve">Problem: </w:t>
      </w:r>
      <w:r>
        <w:t>No mapping layer exists between a Sellaxis offer identifier and a Magento SKU; the Sellaxis SKU string is used as-is.</w:t>
      </w:r>
    </w:p>
    <w:p w14:paraId="1B9F12A8" w14:textId="77777777" w:rsidR="00F754DF" w:rsidRDefault="00000000">
      <w:pPr>
        <w:spacing w:after="80"/>
      </w:pPr>
      <w:r>
        <w:rPr>
          <w:b/>
          <w:bCs/>
        </w:rPr>
        <w:t xml:space="preserve">Why it matters here: </w:t>
      </w:r>
      <w:r>
        <w:t>Across roughly 2,000 independent sellers, two unrelated sellers reusing the same SKU text for different physical products is a near-certainty, not an edge case — sellers don't coordinate their SKU schemes with each other. When it happens, two unrelated products silently share one stock count and one catalogue entry, which is a correctness failure that's hard to detect until a customer receives the wrong item or stock for one seller's product is consumed by another seller's sales.</w:t>
      </w:r>
    </w:p>
    <w:p w14:paraId="409B8542" w14:textId="77777777" w:rsidR="00F754DF" w:rsidRDefault="00000000">
      <w:pPr>
        <w:spacing w:after="240"/>
      </w:pPr>
      <w:r>
        <w:rPr>
          <w:b/>
          <w:bCs/>
        </w:rPr>
        <w:t xml:space="preserve">Fix: </w:t>
      </w:r>
      <w:r>
        <w:t>Add an explicit mapping table keyed on Sellaxis's actual unique offer identifier (not the SKU string) to the corresponding Magento product/SKU. This makes SKU collision between sellers structurally impossible rather than improbable.</w:t>
      </w:r>
    </w:p>
    <w:p w14:paraId="295400BB"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53040615"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7EFDB886" w14:textId="77777777">
              <w:tblPrEx>
                <w:tblCellMar>
                  <w:top w:w="0" w:type="dxa"/>
                  <w:bottom w:w="0" w:type="dxa"/>
                </w:tblCellMar>
              </w:tblPrEx>
              <w:tc>
                <w:tcPr>
                  <w:tcW w:w="1400" w:type="dxa"/>
                  <w:tcBorders>
                    <w:top w:val="single" w:sz="4" w:space="0" w:color="8A6D00"/>
                    <w:left w:val="single" w:sz="4" w:space="0" w:color="8A6D00"/>
                    <w:bottom w:val="single" w:sz="4" w:space="0" w:color="8A6D00"/>
                    <w:right w:val="single" w:sz="4" w:space="0" w:color="8A6D00"/>
                  </w:tcBorders>
                  <w:shd w:val="clear" w:color="auto" w:fill="FAEEDA"/>
                  <w:tcMar>
                    <w:top w:w="40" w:type="dxa"/>
                    <w:left w:w="100" w:type="dxa"/>
                    <w:bottom w:w="40" w:type="dxa"/>
                    <w:right w:w="100" w:type="dxa"/>
                  </w:tcMar>
                </w:tcPr>
                <w:p w14:paraId="16ACD1EA" w14:textId="77777777" w:rsidR="00F754DF" w:rsidRDefault="00000000">
                  <w:pPr>
                    <w:jc w:val="center"/>
                  </w:pPr>
                  <w:r>
                    <w:rPr>
                      <w:b/>
                      <w:bCs/>
                      <w:color w:val="8A6D00"/>
                      <w:sz w:val="17"/>
                      <w:szCs w:val="17"/>
                    </w:rPr>
                    <w:t>HIGH</w:t>
                  </w:r>
                </w:p>
              </w:tc>
            </w:tr>
          </w:tbl>
          <w:p w14:paraId="669CE78F" w14:textId="77777777" w:rsidR="00F754DF" w:rsidRDefault="00F754DF"/>
        </w:tc>
        <w:tc>
          <w:tcPr>
            <w:tcW w:w="7960" w:type="dxa"/>
            <w:vAlign w:val="center"/>
          </w:tcPr>
          <w:p w14:paraId="2C6C54F5" w14:textId="77777777" w:rsidR="00F754DF" w:rsidRDefault="00000000">
            <w:r>
              <w:rPr>
                <w:b/>
                <w:bCs/>
                <w:color w:val="1F4E79"/>
                <w:sz w:val="21"/>
                <w:szCs w:val="21"/>
              </w:rPr>
              <w:t xml:space="preserve">H3  </w:t>
            </w:r>
            <w:r>
              <w:rPr>
                <w:b/>
                <w:bCs/>
                <w:sz w:val="21"/>
                <w:szCs w:val="21"/>
              </w:rPr>
              <w:t>OpenSearch is described as 'the source of truth for all reads' while being populated asynchronously, after the fact, from MySQL</w:t>
            </w:r>
          </w:p>
        </w:tc>
      </w:tr>
    </w:tbl>
    <w:p w14:paraId="5C6A2D9E" w14:textId="77777777" w:rsidR="00F754DF" w:rsidRDefault="00000000">
      <w:pPr>
        <w:spacing w:before="100" w:after="100"/>
      </w:pPr>
      <w:r>
        <w:rPr>
          <w:i/>
          <w:iCs/>
          <w:color w:val="595959"/>
          <w:sz w:val="19"/>
          <w:szCs w:val="19"/>
        </w:rPr>
        <w:t>Draft reference: Section 5, paragraph 1</w:t>
      </w:r>
    </w:p>
    <w:p w14:paraId="7064E601" w14:textId="77777777" w:rsidR="00F754DF" w:rsidRDefault="00000000">
      <w:pPr>
        <w:spacing w:after="80"/>
      </w:pPr>
      <w:r>
        <w:rPr>
          <w:b/>
          <w:bCs/>
        </w:rPr>
        <w:lastRenderedPageBreak/>
        <w:t xml:space="preserve">Problem: </w:t>
      </w:r>
      <w:r>
        <w:t>The draft states OpenSearch is the source of truth for reads, including stock checks, while also describing it as fed by a consumer that copies data from MySQL after MySQL is written.</w:t>
      </w:r>
    </w:p>
    <w:p w14:paraId="69D8ABDF" w14:textId="77777777" w:rsidR="00F754DF" w:rsidRDefault="00000000">
      <w:pPr>
        <w:spacing w:after="80"/>
      </w:pPr>
      <w:r>
        <w:rPr>
          <w:b/>
          <w:bCs/>
        </w:rPr>
        <w:t xml:space="preserve">Why it matters here: </w:t>
      </w:r>
      <w:r>
        <w:t>Something copied after the fact by a process that can itself lag or fail is, by definition, a derived view, not a source of truth — the draft's own description of the mechanism contradicts its own claim about what the mechanism provides. If a stock check at or near checkout time reads OpenSearch and that copy step is lagging or has dropped an event, the check can pass against a number that's already wrong, contributing directly to oversell. This is ranked High rather than folded into the inventory race condition (Finding C3) because it's a separate root cause — even a perfectly correct single-writer inventory design (the fix for C3) would still have this problem if checkout-time stock checks read a lagging copy instead of the authoritative store.</w:t>
      </w:r>
    </w:p>
    <w:p w14:paraId="38467F6D" w14:textId="77777777" w:rsidR="00F754DF" w:rsidRDefault="00000000">
      <w:pPr>
        <w:spacing w:after="240"/>
      </w:pPr>
      <w:r>
        <w:rPr>
          <w:b/>
          <w:bCs/>
        </w:rPr>
        <w:t xml:space="preserve">Fix: </w:t>
      </w:r>
      <w:r>
        <w:t>Keep MySQL as the system of record and route any read where staleness has real consequences — stock checks at checkout, settlement-related confirmations — directly to MySQL. OpenSearch remains appropriate for browsing, search, and dashboard listing, where eventual consistency is an acceptable trade for speed. This is a routing decision in the API layer, not a re-architecture.</w:t>
      </w:r>
    </w:p>
    <w:p w14:paraId="03934447"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61EA2160"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2FF0C97A" w14:textId="77777777">
              <w:tblPrEx>
                <w:tblCellMar>
                  <w:top w:w="0" w:type="dxa"/>
                  <w:bottom w:w="0" w:type="dxa"/>
                </w:tblCellMar>
              </w:tblPrEx>
              <w:tc>
                <w:tcPr>
                  <w:tcW w:w="1400" w:type="dxa"/>
                  <w:tcBorders>
                    <w:top w:val="single" w:sz="4" w:space="0" w:color="8A6D00"/>
                    <w:left w:val="single" w:sz="4" w:space="0" w:color="8A6D00"/>
                    <w:bottom w:val="single" w:sz="4" w:space="0" w:color="8A6D00"/>
                    <w:right w:val="single" w:sz="4" w:space="0" w:color="8A6D00"/>
                  </w:tcBorders>
                  <w:shd w:val="clear" w:color="auto" w:fill="FAEEDA"/>
                  <w:tcMar>
                    <w:top w:w="40" w:type="dxa"/>
                    <w:left w:w="100" w:type="dxa"/>
                    <w:bottom w:w="40" w:type="dxa"/>
                    <w:right w:w="100" w:type="dxa"/>
                  </w:tcMar>
                </w:tcPr>
                <w:p w14:paraId="43AF1CCD" w14:textId="77777777" w:rsidR="00F754DF" w:rsidRDefault="00000000">
                  <w:pPr>
                    <w:jc w:val="center"/>
                  </w:pPr>
                  <w:r>
                    <w:rPr>
                      <w:b/>
                      <w:bCs/>
                      <w:color w:val="8A6D00"/>
                      <w:sz w:val="17"/>
                      <w:szCs w:val="17"/>
                    </w:rPr>
                    <w:t>HIGH</w:t>
                  </w:r>
                </w:p>
              </w:tc>
            </w:tr>
          </w:tbl>
          <w:p w14:paraId="436E2177" w14:textId="77777777" w:rsidR="00F754DF" w:rsidRDefault="00F754DF"/>
        </w:tc>
        <w:tc>
          <w:tcPr>
            <w:tcW w:w="7960" w:type="dxa"/>
            <w:vAlign w:val="center"/>
          </w:tcPr>
          <w:p w14:paraId="7306AB64" w14:textId="77777777" w:rsidR="00F754DF" w:rsidRDefault="00000000">
            <w:r>
              <w:rPr>
                <w:b/>
                <w:bCs/>
                <w:color w:val="1F4E79"/>
                <w:sz w:val="21"/>
                <w:szCs w:val="21"/>
              </w:rPr>
              <w:t xml:space="preserve">H4  </w:t>
            </w:r>
            <w:r>
              <w:rPr>
                <w:b/>
                <w:bCs/>
                <w:sz w:val="21"/>
                <w:szCs w:val="21"/>
              </w:rPr>
              <w:t>Capacity sizing is based on the daily average, not on peak or bursty load</w:t>
            </w:r>
          </w:p>
        </w:tc>
      </w:tr>
    </w:tbl>
    <w:p w14:paraId="6E0F3810" w14:textId="77777777" w:rsidR="00F754DF" w:rsidRDefault="00000000">
      <w:pPr>
        <w:spacing w:before="100" w:after="100"/>
      </w:pPr>
      <w:r>
        <w:rPr>
          <w:i/>
          <w:iCs/>
          <w:color w:val="595959"/>
          <w:sz w:val="19"/>
          <w:szCs w:val="19"/>
        </w:rPr>
        <w:t>Draft reference: Section 7, capacity paragraph</w:t>
      </w:r>
    </w:p>
    <w:p w14:paraId="58E6B5FF" w14:textId="77777777" w:rsidR="00F754DF" w:rsidRDefault="00000000">
      <w:pPr>
        <w:spacing w:after="80"/>
      </w:pPr>
      <w:r>
        <w:rPr>
          <w:b/>
          <w:bCs/>
        </w:rPr>
        <w:t xml:space="preserve">Problem: </w:t>
      </w:r>
      <w:r>
        <w:t>25,000 orders/day is computed as ~0.3 orders/sec and called trivial; 500,000 nightly inventory writes as ~6/sec, also called trivial — both used to justify a single consumer per event type and no table partitioning.</w:t>
      </w:r>
    </w:p>
    <w:p w14:paraId="25E0DEF7" w14:textId="77777777" w:rsidR="00F754DF" w:rsidRDefault="00000000">
      <w:pPr>
        <w:spacing w:after="80"/>
      </w:pPr>
      <w:r>
        <w:rPr>
          <w:b/>
          <w:bCs/>
        </w:rPr>
        <w:t xml:space="preserve">Why it matters here: </w:t>
      </w:r>
      <w:r>
        <w:t>Average throughput says very little about whether the 30-second order-acknowledgement SLA holds during the actual minutes traffic spikes — and B2B procurement (Forgeline's stated buyer profile) tends to have sharp, calendar-driven purchasing patterns (month-end, quarter-end) that an average smooths away entirely. A single consumer sized for the average has no headroom for the burst that average is hiding, and a burst that exceeds consumer throughput shows up as a growing queue backlog — directly threatening the stated SLA, not as a gradual slowdown.</w:t>
      </w:r>
    </w:p>
    <w:p w14:paraId="3ED66FB7" w14:textId="77777777" w:rsidR="00F754DF" w:rsidRDefault="00000000">
      <w:pPr>
        <w:spacing w:after="80"/>
      </w:pPr>
      <w:r>
        <w:rPr>
          <w:b/>
          <w:bCs/>
        </w:rPr>
        <w:t xml:space="preserve">Fix: </w:t>
      </w:r>
      <w:r>
        <w:t>Size the consumer pool and connection limits against a peak-to-average multiplier (5–8x is a reasonable starting assumption pending real data from Forgeline's own order-time-of-day distribution), with horizontally scalable consumers rather than one-per-event-type as a hard architectural constraint.</w:t>
      </w:r>
    </w:p>
    <w:p w14:paraId="43888BFB" w14:textId="77777777" w:rsidR="00F754DF" w:rsidRDefault="00000000">
      <w:pPr>
        <w:spacing w:after="240"/>
      </w:pPr>
      <w:r>
        <w:rPr>
          <w:b/>
          <w:bCs/>
          <w:i/>
          <w:iCs/>
        </w:rPr>
        <w:t xml:space="preserve">Verify before sign-off: </w:t>
      </w:r>
      <w:r>
        <w:rPr>
          <w:i/>
          <w:iCs/>
        </w:rPr>
        <w:t>Get Forgeline's actual historical peak-to-average ratio rather than estimating from first principles before finalizing consumer pool sizing.</w:t>
      </w:r>
    </w:p>
    <w:p w14:paraId="686F077B"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2BE905C3"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4B26861C" w14:textId="77777777">
              <w:tblPrEx>
                <w:tblCellMar>
                  <w:top w:w="0" w:type="dxa"/>
                  <w:bottom w:w="0" w:type="dxa"/>
                </w:tblCellMar>
              </w:tblPrEx>
              <w:tc>
                <w:tcPr>
                  <w:tcW w:w="1400" w:type="dxa"/>
                  <w:tcBorders>
                    <w:top w:val="single" w:sz="4" w:space="0" w:color="8A6D00"/>
                    <w:left w:val="single" w:sz="4" w:space="0" w:color="8A6D00"/>
                    <w:bottom w:val="single" w:sz="4" w:space="0" w:color="8A6D00"/>
                    <w:right w:val="single" w:sz="4" w:space="0" w:color="8A6D00"/>
                  </w:tcBorders>
                  <w:shd w:val="clear" w:color="auto" w:fill="FAEEDA"/>
                  <w:tcMar>
                    <w:top w:w="40" w:type="dxa"/>
                    <w:left w:w="100" w:type="dxa"/>
                    <w:bottom w:w="40" w:type="dxa"/>
                    <w:right w:w="100" w:type="dxa"/>
                  </w:tcMar>
                </w:tcPr>
                <w:p w14:paraId="067ED7B9" w14:textId="77777777" w:rsidR="00F754DF" w:rsidRDefault="00000000">
                  <w:pPr>
                    <w:jc w:val="center"/>
                  </w:pPr>
                  <w:r>
                    <w:rPr>
                      <w:b/>
                      <w:bCs/>
                      <w:color w:val="8A6D00"/>
                      <w:sz w:val="17"/>
                      <w:szCs w:val="17"/>
                    </w:rPr>
                    <w:t>HIGH</w:t>
                  </w:r>
                </w:p>
              </w:tc>
            </w:tr>
          </w:tbl>
          <w:p w14:paraId="1FF3B8F7" w14:textId="77777777" w:rsidR="00F754DF" w:rsidRDefault="00F754DF"/>
        </w:tc>
        <w:tc>
          <w:tcPr>
            <w:tcW w:w="7960" w:type="dxa"/>
            <w:vAlign w:val="center"/>
          </w:tcPr>
          <w:p w14:paraId="640B9892" w14:textId="77777777" w:rsidR="00F754DF" w:rsidRDefault="00000000">
            <w:r>
              <w:rPr>
                <w:b/>
                <w:bCs/>
                <w:color w:val="1F4E79"/>
                <w:sz w:val="21"/>
                <w:szCs w:val="21"/>
              </w:rPr>
              <w:t xml:space="preserve">H5  </w:t>
            </w:r>
            <w:r>
              <w:rPr>
                <w:b/>
                <w:bCs/>
                <w:sz w:val="21"/>
                <w:szCs w:val="21"/>
              </w:rPr>
              <w:t>Rollback is specified as a live git revert plus re-running schema migration tooling on production</w:t>
            </w:r>
          </w:p>
        </w:tc>
      </w:tr>
    </w:tbl>
    <w:p w14:paraId="258ED2D2" w14:textId="77777777" w:rsidR="00F754DF" w:rsidRDefault="00000000">
      <w:pPr>
        <w:spacing w:before="100" w:after="100"/>
      </w:pPr>
      <w:r>
        <w:rPr>
          <w:i/>
          <w:iCs/>
          <w:color w:val="595959"/>
          <w:sz w:val="19"/>
          <w:szCs w:val="19"/>
        </w:rPr>
        <w:t>Draft reference: Section 8, second bolded instruction</w:t>
      </w:r>
    </w:p>
    <w:p w14:paraId="733A98FA" w14:textId="77777777" w:rsidR="00F754DF" w:rsidRDefault="00000000">
      <w:pPr>
        <w:spacing w:after="80"/>
      </w:pPr>
      <w:r>
        <w:rPr>
          <w:b/>
          <w:bCs/>
        </w:rPr>
        <w:t xml:space="preserve">Problem: </w:t>
      </w:r>
      <w:r>
        <w:t>The stated rollback procedure is: SSH into production, git revert the bad commit, and re-run setup:upgrade.</w:t>
      </w:r>
    </w:p>
    <w:p w14:paraId="2A0BB518" w14:textId="77777777" w:rsidR="00F754DF" w:rsidRDefault="00000000">
      <w:pPr>
        <w:spacing w:after="80"/>
      </w:pPr>
      <w:r>
        <w:rPr>
          <w:b/>
          <w:bCs/>
        </w:rPr>
        <w:lastRenderedPageBreak/>
        <w:t xml:space="preserve">Why it matters here: </w:t>
      </w:r>
      <w:r>
        <w:t>setup:upgrade runs database schema migrations. Reverting application code does not automatically reverse a schema change that already ran against the database — running the migration tool again on a reverted codebase, against a database that's already mid-migration from the bad release, is a plausible way to corrupt schema state. This is precisely the moment (responding to a bad release) where rollback needs to be the most boring and predictable step in the whole system, and the draft's procedure introduces real risk into exactly that moment. Ranked High rather than Critical because it's conditional — it only fires given a prior bad release — rather than a standing, every-order exposure like the Critical findings above.</w:t>
      </w:r>
    </w:p>
    <w:p w14:paraId="1E2F2061" w14:textId="77777777" w:rsidR="00F754DF" w:rsidRDefault="00000000">
      <w:pPr>
        <w:spacing w:after="240"/>
      </w:pPr>
      <w:r>
        <w:rPr>
          <w:b/>
          <w:bCs/>
        </w:rPr>
        <w:t xml:space="preserve">Fix: </w:t>
      </w:r>
      <w:r>
        <w:t>Treat rollback as redeploying a previously-built, previously-tested artifact (including whatever migration plan was validated for it), not as reverting source and re-running forward migration tooling. Every migration should be authored with an explicit, tested down-migration, or designed to be additive/backward-compatible so rollback never depends on one improvised under pressure.</w:t>
      </w:r>
    </w:p>
    <w:p w14:paraId="10F9E7BB" w14:textId="77777777" w:rsidR="00F754DF" w:rsidRDefault="00F754DF">
      <w:pPr>
        <w:pBdr>
          <w:bottom w:val="single" w:sz="4" w:space="6" w:color="D9D9D9"/>
        </w:pBdr>
        <w:spacing w:after="240"/>
      </w:pPr>
    </w:p>
    <w:p w14:paraId="5E3BB724" w14:textId="77777777" w:rsidR="00F754DF" w:rsidRDefault="00000000">
      <w:r>
        <w:br w:type="page"/>
      </w:r>
    </w:p>
    <w:p w14:paraId="33EDC17C" w14:textId="77777777" w:rsidR="00F754DF" w:rsidRDefault="00000000">
      <w:pPr>
        <w:pStyle w:val="Heading1"/>
      </w:pPr>
      <w:r>
        <w:lastRenderedPageBreak/>
        <w:t>5. Medium Findings</w:t>
      </w:r>
    </w:p>
    <w:p w14:paraId="432490FB" w14:textId="77777777" w:rsidR="00F754DF" w:rsidRDefault="00000000">
      <w:pPr>
        <w:spacing w:after="160" w:line="276" w:lineRule="auto"/>
      </w:pPr>
      <w:r>
        <w:t>Raise the odds of a future incident or slow detection of one, without being a loss event on their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3DA659B0"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20DE19AC" w14:textId="77777777">
              <w:tblPrEx>
                <w:tblCellMar>
                  <w:top w:w="0" w:type="dxa"/>
                  <w:bottom w:w="0" w:type="dxa"/>
                </w:tblCellMar>
              </w:tblPrEx>
              <w:tc>
                <w:tcPr>
                  <w:tcW w:w="1400" w:type="dxa"/>
                  <w:tcBorders>
                    <w:top w:val="single" w:sz="4" w:space="0" w:color="0C447C"/>
                    <w:left w:val="single" w:sz="4" w:space="0" w:color="0C447C"/>
                    <w:bottom w:val="single" w:sz="4" w:space="0" w:color="0C447C"/>
                    <w:right w:val="single" w:sz="4" w:space="0" w:color="0C447C"/>
                  </w:tcBorders>
                  <w:shd w:val="clear" w:color="auto" w:fill="E6F1FB"/>
                  <w:tcMar>
                    <w:top w:w="40" w:type="dxa"/>
                    <w:left w:w="100" w:type="dxa"/>
                    <w:bottom w:w="40" w:type="dxa"/>
                    <w:right w:w="100" w:type="dxa"/>
                  </w:tcMar>
                </w:tcPr>
                <w:p w14:paraId="6CDACC57" w14:textId="77777777" w:rsidR="00F754DF" w:rsidRDefault="00000000">
                  <w:pPr>
                    <w:jc w:val="center"/>
                  </w:pPr>
                  <w:r>
                    <w:rPr>
                      <w:b/>
                      <w:bCs/>
                      <w:color w:val="0C447C"/>
                      <w:sz w:val="17"/>
                      <w:szCs w:val="17"/>
                    </w:rPr>
                    <w:t>MEDIUM</w:t>
                  </w:r>
                </w:p>
              </w:tc>
            </w:tr>
          </w:tbl>
          <w:p w14:paraId="038B9CE7" w14:textId="77777777" w:rsidR="00F754DF" w:rsidRDefault="00F754DF"/>
        </w:tc>
        <w:tc>
          <w:tcPr>
            <w:tcW w:w="7960" w:type="dxa"/>
            <w:vAlign w:val="center"/>
          </w:tcPr>
          <w:p w14:paraId="1E0EECFD" w14:textId="77777777" w:rsidR="00F754DF" w:rsidRDefault="00000000">
            <w:r>
              <w:rPr>
                <w:b/>
                <w:bCs/>
                <w:color w:val="1F4E79"/>
                <w:sz w:val="21"/>
                <w:szCs w:val="21"/>
              </w:rPr>
              <w:t xml:space="preserve">M1  </w:t>
            </w:r>
            <w:r>
              <w:rPr>
                <w:b/>
                <w:bCs/>
                <w:sz w:val="21"/>
                <w:szCs w:val="21"/>
              </w:rPr>
              <w:t>A single Redis instance serves cache, sessions, the message queue, and the dedup set</w:t>
            </w:r>
          </w:p>
        </w:tc>
      </w:tr>
    </w:tbl>
    <w:p w14:paraId="31CB7C1F" w14:textId="77777777" w:rsidR="00F754DF" w:rsidRDefault="00000000">
      <w:pPr>
        <w:spacing w:before="100" w:after="100"/>
      </w:pPr>
      <w:r>
        <w:rPr>
          <w:i/>
          <w:iCs/>
          <w:color w:val="595959"/>
          <w:sz w:val="19"/>
          <w:szCs w:val="19"/>
        </w:rPr>
        <w:t>Draft reference: Section 7, Redis bullet</w:t>
      </w:r>
    </w:p>
    <w:p w14:paraId="66657A2A" w14:textId="77777777" w:rsidR="00F754DF" w:rsidRDefault="00000000">
      <w:pPr>
        <w:spacing w:after="80"/>
      </w:pPr>
      <w:r>
        <w:rPr>
          <w:b/>
          <w:bCs/>
        </w:rPr>
        <w:t xml:space="preserve">Problem: </w:t>
      </w:r>
      <w:r>
        <w:t>All four roles share one instance with no isolation between them.</w:t>
      </w:r>
    </w:p>
    <w:p w14:paraId="5E0C9358" w14:textId="77777777" w:rsidR="00F754DF" w:rsidRDefault="00000000">
      <w:pPr>
        <w:spacing w:after="80"/>
      </w:pPr>
      <w:r>
        <w:rPr>
          <w:b/>
          <w:bCs/>
        </w:rPr>
        <w:t xml:space="preserve">Why it matters here: </w:t>
      </w:r>
      <w:r>
        <w:t>These four jobs have very different risk profiles — losing cache is a performance blip, losing sessions logs everyone out, losing in-flight queue messages or the dedup record (Finding C2) loses or duplicates orders. Coupling all four onto one instance means a single Redis incident has blast radius across all of them simultaneously, including the one this review has already flagged as needing the most durability, not the least. This is ranked Medium on its own (it's an amplifier, not a standalone loss event) but it directly raises the real-world likelihood of Finding C2.</w:t>
      </w:r>
    </w:p>
    <w:p w14:paraId="237D7B00" w14:textId="77777777" w:rsidR="00F754DF" w:rsidRDefault="00000000">
      <w:pPr>
        <w:spacing w:after="240"/>
      </w:pPr>
      <w:r>
        <w:rPr>
          <w:b/>
          <w:bCs/>
        </w:rPr>
        <w:t xml:space="preserve">Fix: </w:t>
      </w:r>
      <w:r>
        <w:t>Split by blast radius: cache and sessions can reasonably share an instance since both tolerate loss gracefully. The queue (and, per Finding C2's fix, the durable dedup store) should not share that instance.</w:t>
      </w:r>
    </w:p>
    <w:p w14:paraId="1FE47549"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014F3158"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76E9C337" w14:textId="77777777">
              <w:tblPrEx>
                <w:tblCellMar>
                  <w:top w:w="0" w:type="dxa"/>
                  <w:bottom w:w="0" w:type="dxa"/>
                </w:tblCellMar>
              </w:tblPrEx>
              <w:tc>
                <w:tcPr>
                  <w:tcW w:w="1400" w:type="dxa"/>
                  <w:tcBorders>
                    <w:top w:val="single" w:sz="4" w:space="0" w:color="0C447C"/>
                    <w:left w:val="single" w:sz="4" w:space="0" w:color="0C447C"/>
                    <w:bottom w:val="single" w:sz="4" w:space="0" w:color="0C447C"/>
                    <w:right w:val="single" w:sz="4" w:space="0" w:color="0C447C"/>
                  </w:tcBorders>
                  <w:shd w:val="clear" w:color="auto" w:fill="E6F1FB"/>
                  <w:tcMar>
                    <w:top w:w="40" w:type="dxa"/>
                    <w:left w:w="100" w:type="dxa"/>
                    <w:bottom w:w="40" w:type="dxa"/>
                    <w:right w:w="100" w:type="dxa"/>
                  </w:tcMar>
                </w:tcPr>
                <w:p w14:paraId="1A743389" w14:textId="77777777" w:rsidR="00F754DF" w:rsidRDefault="00000000">
                  <w:pPr>
                    <w:jc w:val="center"/>
                  </w:pPr>
                  <w:r>
                    <w:rPr>
                      <w:b/>
                      <w:bCs/>
                      <w:color w:val="0C447C"/>
                      <w:sz w:val="17"/>
                      <w:szCs w:val="17"/>
                    </w:rPr>
                    <w:t>MEDIUM</w:t>
                  </w:r>
                </w:p>
              </w:tc>
            </w:tr>
          </w:tbl>
          <w:p w14:paraId="00F31AE2" w14:textId="77777777" w:rsidR="00F754DF" w:rsidRDefault="00F754DF"/>
        </w:tc>
        <w:tc>
          <w:tcPr>
            <w:tcW w:w="7960" w:type="dxa"/>
            <w:vAlign w:val="center"/>
          </w:tcPr>
          <w:p w14:paraId="095AF3FF" w14:textId="77777777" w:rsidR="00F754DF" w:rsidRDefault="00000000">
            <w:r>
              <w:rPr>
                <w:b/>
                <w:bCs/>
                <w:color w:val="1F4E79"/>
                <w:sz w:val="21"/>
                <w:szCs w:val="21"/>
              </w:rPr>
              <w:t xml:space="preserve">M2  </w:t>
            </w:r>
            <w:r>
              <w:rPr>
                <w:b/>
                <w:bCs/>
                <w:sz w:val="21"/>
                <w:szCs w:val="21"/>
              </w:rPr>
              <w:t>The 15-second backfill poll runs continuously, forever, rather than as a triggered recovery mechanism</w:t>
            </w:r>
          </w:p>
        </w:tc>
      </w:tr>
    </w:tbl>
    <w:p w14:paraId="5624A252" w14:textId="77777777" w:rsidR="00F754DF" w:rsidRDefault="00000000">
      <w:pPr>
        <w:spacing w:before="100" w:after="100"/>
      </w:pPr>
      <w:r>
        <w:rPr>
          <w:i/>
          <w:iCs/>
          <w:color w:val="595959"/>
          <w:sz w:val="19"/>
          <w:szCs w:val="19"/>
        </w:rPr>
        <w:t>Draft reference: Section 2, last paragraph</w:t>
      </w:r>
    </w:p>
    <w:p w14:paraId="5673FF77" w14:textId="77777777" w:rsidR="00F754DF" w:rsidRDefault="00000000">
      <w:pPr>
        <w:spacing w:after="80"/>
      </w:pPr>
      <w:r>
        <w:rPr>
          <w:b/>
          <w:bCs/>
        </w:rPr>
        <w:t xml:space="preserve">Problem: </w:t>
      </w:r>
      <w:r>
        <w:t>GET /api/orders?since= is polled every 15 seconds as a permanent backfill mechanism, not a response to a detected gap.</w:t>
      </w:r>
    </w:p>
    <w:p w14:paraId="3B1C537E" w14:textId="77777777" w:rsidR="00F754DF" w:rsidRDefault="00000000">
      <w:pPr>
        <w:spacing w:after="80"/>
      </w:pPr>
      <w:r>
        <w:rPr>
          <w:b/>
          <w:bCs/>
        </w:rPr>
        <w:t xml:space="preserve">Why it matters here: </w:t>
      </w:r>
      <w:r>
        <w:t>This is continuous load on both Sellaxis's API and Forgeline's own ingestion path for a scenario — catching events the webhook missed — that should be the rare case, not the steady-state. It's a cost and resilience-budget problem (squeezing headroom that might be needed during an actual recovery) rather than a correctness problem on its own.</w:t>
      </w:r>
    </w:p>
    <w:p w14:paraId="48BBEBC1" w14:textId="77777777" w:rsidR="00F754DF" w:rsidRDefault="00000000">
      <w:pPr>
        <w:spacing w:after="240"/>
      </w:pPr>
      <w:r>
        <w:rPr>
          <w:b/>
          <w:bCs/>
        </w:rPr>
        <w:t xml:space="preserve">Fix: </w:t>
      </w:r>
      <w:r>
        <w:t>Run reconciliation polling on a much longer steady-state cycle (minutes, not seconds), with a faster, triggered catch-up poll only activated on a detected gap — webhook errors, a deploy, or an operator-initiated recovery.</w:t>
      </w:r>
    </w:p>
    <w:p w14:paraId="6C5022ED"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710C9C9F"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40A8897B" w14:textId="77777777">
              <w:tblPrEx>
                <w:tblCellMar>
                  <w:top w:w="0" w:type="dxa"/>
                  <w:bottom w:w="0" w:type="dxa"/>
                </w:tblCellMar>
              </w:tblPrEx>
              <w:tc>
                <w:tcPr>
                  <w:tcW w:w="1400" w:type="dxa"/>
                  <w:tcBorders>
                    <w:top w:val="single" w:sz="4" w:space="0" w:color="0C447C"/>
                    <w:left w:val="single" w:sz="4" w:space="0" w:color="0C447C"/>
                    <w:bottom w:val="single" w:sz="4" w:space="0" w:color="0C447C"/>
                    <w:right w:val="single" w:sz="4" w:space="0" w:color="0C447C"/>
                  </w:tcBorders>
                  <w:shd w:val="clear" w:color="auto" w:fill="E6F1FB"/>
                  <w:tcMar>
                    <w:top w:w="40" w:type="dxa"/>
                    <w:left w:w="100" w:type="dxa"/>
                    <w:bottom w:w="40" w:type="dxa"/>
                    <w:right w:w="100" w:type="dxa"/>
                  </w:tcMar>
                </w:tcPr>
                <w:p w14:paraId="5958D9CE" w14:textId="77777777" w:rsidR="00F754DF" w:rsidRDefault="00000000">
                  <w:pPr>
                    <w:jc w:val="center"/>
                  </w:pPr>
                  <w:r>
                    <w:rPr>
                      <w:b/>
                      <w:bCs/>
                      <w:color w:val="0C447C"/>
                      <w:sz w:val="17"/>
                      <w:szCs w:val="17"/>
                    </w:rPr>
                    <w:t>MEDIUM</w:t>
                  </w:r>
                </w:p>
              </w:tc>
            </w:tr>
          </w:tbl>
          <w:p w14:paraId="1CAEFEC4" w14:textId="77777777" w:rsidR="00F754DF" w:rsidRDefault="00F754DF"/>
        </w:tc>
        <w:tc>
          <w:tcPr>
            <w:tcW w:w="7960" w:type="dxa"/>
            <w:vAlign w:val="center"/>
          </w:tcPr>
          <w:p w14:paraId="007058D5" w14:textId="77777777" w:rsidR="00F754DF" w:rsidRDefault="00000000">
            <w:r>
              <w:rPr>
                <w:b/>
                <w:bCs/>
                <w:color w:val="1F4E79"/>
                <w:sz w:val="21"/>
                <w:szCs w:val="21"/>
              </w:rPr>
              <w:t xml:space="preserve">M3  </w:t>
            </w:r>
            <w:r>
              <w:rPr>
                <w:b/>
                <w:bCs/>
                <w:sz w:val="21"/>
                <w:szCs w:val="21"/>
              </w:rPr>
              <w:t>Configuration is edited directly in the Magento admin and in env.php on the production node, with no record of changes</w:t>
            </w:r>
          </w:p>
        </w:tc>
      </w:tr>
    </w:tbl>
    <w:p w14:paraId="0BE17747" w14:textId="77777777" w:rsidR="00F754DF" w:rsidRDefault="00000000">
      <w:pPr>
        <w:spacing w:before="100" w:after="100"/>
      </w:pPr>
      <w:r>
        <w:rPr>
          <w:i/>
          <w:iCs/>
          <w:color w:val="595959"/>
          <w:sz w:val="19"/>
          <w:szCs w:val="19"/>
        </w:rPr>
        <w:t>Draft reference: Section 8, last paragraph</w:t>
      </w:r>
    </w:p>
    <w:p w14:paraId="63A99304" w14:textId="77777777" w:rsidR="00F754DF" w:rsidRDefault="00000000">
      <w:pPr>
        <w:spacing w:after="80"/>
      </w:pPr>
      <w:r>
        <w:rPr>
          <w:b/>
          <w:bCs/>
        </w:rPr>
        <w:t xml:space="preserve">Problem: </w:t>
      </w:r>
      <w:r>
        <w:t>API keys and queue settings are described as edited directly on the live node as needed.</w:t>
      </w:r>
    </w:p>
    <w:p w14:paraId="7B79F171" w14:textId="77777777" w:rsidR="00F754DF" w:rsidRDefault="00000000">
      <w:pPr>
        <w:spacing w:after="80"/>
      </w:pPr>
      <w:r>
        <w:rPr>
          <w:b/>
          <w:bCs/>
        </w:rPr>
        <w:t xml:space="preserve">Why it matters here: </w:t>
      </w:r>
      <w:r>
        <w:t>There's no record of who changed what configuration when, which is a real gap during incident investigation (was a config change the cause?) even though it's not itself a loss event.</w:t>
      </w:r>
    </w:p>
    <w:p w14:paraId="103078F6" w14:textId="77777777" w:rsidR="00F754DF" w:rsidRDefault="00000000">
      <w:pPr>
        <w:spacing w:after="240"/>
      </w:pPr>
      <w:r>
        <w:rPr>
          <w:b/>
          <w:bCs/>
        </w:rPr>
        <w:lastRenderedPageBreak/>
        <w:t xml:space="preserve">Fix: </w:t>
      </w:r>
      <w:r>
        <w:t>Manage configuration as code — version-controlled, deployed through the same pipeline as application changes — so every change has an author, a timestamp, and a diff.</w:t>
      </w:r>
    </w:p>
    <w:p w14:paraId="2E9D210D" w14:textId="77777777" w:rsidR="00F754DF" w:rsidRDefault="00F754DF">
      <w:pPr>
        <w:pBdr>
          <w:bottom w:val="single" w:sz="4" w:space="6" w:color="D9D9D9"/>
        </w:pBdr>
        <w:spacing w:after="240"/>
      </w:pPr>
    </w:p>
    <w:p w14:paraId="5D09C597" w14:textId="77777777" w:rsidR="00F754DF" w:rsidRDefault="00000000">
      <w:r>
        <w:br w:type="page"/>
      </w:r>
    </w:p>
    <w:p w14:paraId="5AEE11D6" w14:textId="77777777" w:rsidR="00F754DF" w:rsidRDefault="00000000">
      <w:pPr>
        <w:pStyle w:val="Heading1"/>
      </w:pPr>
      <w:r>
        <w:lastRenderedPageBreak/>
        <w:t>6. Low Findings</w:t>
      </w:r>
    </w:p>
    <w:p w14:paraId="7A2F32BA" w14:textId="77777777" w:rsidR="00F754DF" w:rsidRDefault="00000000">
      <w:pPr>
        <w:spacing w:after="160" w:line="276" w:lineRule="auto"/>
      </w:pPr>
      <w:r>
        <w:t>Hygiene and best-practice gaps with low probability of real damage at the stated production scale. Worth fixing; correctly last in priority per the brief's own instruction that money and security come before cosmetics.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40451363"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201E36C8" w14:textId="77777777">
              <w:tblPrEx>
                <w:tblCellMar>
                  <w:top w:w="0" w:type="dxa"/>
                  <w:bottom w:w="0" w:type="dxa"/>
                </w:tblCellMar>
              </w:tblPrEx>
              <w:tc>
                <w:tcPr>
                  <w:tcW w:w="1400" w:type="dxa"/>
                  <w:tcBorders>
                    <w:top w:val="single" w:sz="4" w:space="0" w:color="444441"/>
                    <w:left w:val="single" w:sz="4" w:space="0" w:color="444441"/>
                    <w:bottom w:val="single" w:sz="4" w:space="0" w:color="444441"/>
                    <w:right w:val="single" w:sz="4" w:space="0" w:color="444441"/>
                  </w:tcBorders>
                  <w:shd w:val="clear" w:color="auto" w:fill="F1EFE8"/>
                  <w:tcMar>
                    <w:top w:w="40" w:type="dxa"/>
                    <w:left w:w="100" w:type="dxa"/>
                    <w:bottom w:w="40" w:type="dxa"/>
                    <w:right w:w="100" w:type="dxa"/>
                  </w:tcMar>
                </w:tcPr>
                <w:p w14:paraId="7FBA10AA" w14:textId="77777777" w:rsidR="00F754DF" w:rsidRDefault="00000000">
                  <w:pPr>
                    <w:jc w:val="center"/>
                  </w:pPr>
                  <w:r>
                    <w:rPr>
                      <w:b/>
                      <w:bCs/>
                      <w:color w:val="444441"/>
                      <w:sz w:val="17"/>
                      <w:szCs w:val="17"/>
                    </w:rPr>
                    <w:t>LOW</w:t>
                  </w:r>
                </w:p>
              </w:tc>
            </w:tr>
          </w:tbl>
          <w:p w14:paraId="42285539" w14:textId="77777777" w:rsidR="00F754DF" w:rsidRDefault="00F754DF"/>
        </w:tc>
        <w:tc>
          <w:tcPr>
            <w:tcW w:w="7960" w:type="dxa"/>
            <w:vAlign w:val="center"/>
          </w:tcPr>
          <w:p w14:paraId="205A38E3" w14:textId="77777777" w:rsidR="00F754DF" w:rsidRDefault="00000000">
            <w:r>
              <w:rPr>
                <w:b/>
                <w:bCs/>
                <w:color w:val="1F4E79"/>
                <w:sz w:val="21"/>
                <w:szCs w:val="21"/>
              </w:rPr>
              <w:t xml:space="preserve">L1  </w:t>
            </w:r>
            <w:r>
              <w:rPr>
                <w:b/>
                <w:bCs/>
                <w:sz w:val="21"/>
                <w:szCs w:val="21"/>
              </w:rPr>
              <w:t>Observability is limited to host infrastructure metrics and aggregate HTTP 5xx rate</w:t>
            </w:r>
          </w:p>
        </w:tc>
      </w:tr>
    </w:tbl>
    <w:p w14:paraId="35059C46" w14:textId="77777777" w:rsidR="00F754DF" w:rsidRDefault="00000000">
      <w:pPr>
        <w:spacing w:before="100" w:after="100"/>
      </w:pPr>
      <w:r>
        <w:rPr>
          <w:i/>
          <w:iCs/>
          <w:color w:val="595959"/>
          <w:sz w:val="19"/>
          <w:szCs w:val="19"/>
        </w:rPr>
        <w:t>Draft reference: Section 9, paragraph 1</w:t>
      </w:r>
    </w:p>
    <w:p w14:paraId="33490511" w14:textId="77777777" w:rsidR="00F754DF" w:rsidRDefault="00000000">
      <w:pPr>
        <w:spacing w:after="80"/>
      </w:pPr>
      <w:r>
        <w:rPr>
          <w:b/>
          <w:bCs/>
        </w:rPr>
        <w:t xml:space="preserve">Problem: </w:t>
      </w:r>
      <w:r>
        <w:t>The stated health signal is host CPU/memory/disk and load-balancer 5xx rate; if those are green, the draft considers the integration healthy.</w:t>
      </w:r>
    </w:p>
    <w:p w14:paraId="13543CA3" w14:textId="77777777" w:rsidR="00F754DF" w:rsidRDefault="00000000">
      <w:pPr>
        <w:spacing w:after="80"/>
      </w:pPr>
      <w:r>
        <w:rPr>
          <w:b/>
          <w:bCs/>
        </w:rPr>
        <w:t xml:space="preserve">Why it matters here: </w:t>
      </w:r>
      <w:r>
        <w:t>None of these would catch a consumer quietly falling behind on one queue, an ERP relay stuck retrying, or inventory drift accumulating — every host can show green while the system is actively failing one of the Critical/High findings above. This is ranked Low rather than higher because it's a detection gap, not itself a cause of loss — but it's the reason several of the higher-severity findings could run unnoticed for a long time, so it's worth fixing early despite its own low standalone severity.</w:t>
      </w:r>
    </w:p>
    <w:p w14:paraId="21A6FC6D" w14:textId="77777777" w:rsidR="00F754DF" w:rsidRDefault="00000000">
      <w:pPr>
        <w:spacing w:after="240"/>
      </w:pPr>
      <w:r>
        <w:rPr>
          <w:b/>
          <w:bCs/>
        </w:rPr>
        <w:t xml:space="preserve">Fix: </w:t>
      </w:r>
      <w:r>
        <w:t>Add domain-level metrics: queue depth and consumer lag per event type, webhook failure rate distinct from general 5xx, ERP/ShipBridge outbox backlog age, and inventory reconciliation drift volume.</w:t>
      </w:r>
    </w:p>
    <w:p w14:paraId="1E2EB8D1" w14:textId="77777777" w:rsidR="00F754DF" w:rsidRDefault="00F754DF">
      <w:pPr>
        <w:pBdr>
          <w:bottom w:val="single" w:sz="4" w:space="6" w:color="D9D9D9"/>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7930"/>
      </w:tblGrid>
      <w:tr w:rsidR="00F754DF" w14:paraId="122821ED" w14:textId="77777777">
        <w:tblPrEx>
          <w:tblCellMar>
            <w:top w:w="0" w:type="dxa"/>
            <w:bottom w:w="0" w:type="dxa"/>
          </w:tblCellMar>
        </w:tblPrEx>
        <w:tc>
          <w:tcPr>
            <w:tcW w:w="1400" w:type="dxa"/>
            <w:vAlign w:val="center"/>
          </w:tcPr>
          <w:tbl>
            <w:tblPr>
              <w:tblW w:w="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tblGrid>
            <w:tr w:rsidR="00F754DF" w14:paraId="7DD6EDA2" w14:textId="77777777">
              <w:tblPrEx>
                <w:tblCellMar>
                  <w:top w:w="0" w:type="dxa"/>
                  <w:bottom w:w="0" w:type="dxa"/>
                </w:tblCellMar>
              </w:tblPrEx>
              <w:tc>
                <w:tcPr>
                  <w:tcW w:w="1400" w:type="dxa"/>
                  <w:tcBorders>
                    <w:top w:val="single" w:sz="4" w:space="0" w:color="444441"/>
                    <w:left w:val="single" w:sz="4" w:space="0" w:color="444441"/>
                    <w:bottom w:val="single" w:sz="4" w:space="0" w:color="444441"/>
                    <w:right w:val="single" w:sz="4" w:space="0" w:color="444441"/>
                  </w:tcBorders>
                  <w:shd w:val="clear" w:color="auto" w:fill="F1EFE8"/>
                  <w:tcMar>
                    <w:top w:w="40" w:type="dxa"/>
                    <w:left w:w="100" w:type="dxa"/>
                    <w:bottom w:w="40" w:type="dxa"/>
                    <w:right w:w="100" w:type="dxa"/>
                  </w:tcMar>
                </w:tcPr>
                <w:p w14:paraId="0174EDE4" w14:textId="77777777" w:rsidR="00F754DF" w:rsidRDefault="00000000">
                  <w:pPr>
                    <w:jc w:val="center"/>
                  </w:pPr>
                  <w:r>
                    <w:rPr>
                      <w:b/>
                      <w:bCs/>
                      <w:color w:val="444441"/>
                      <w:sz w:val="17"/>
                      <w:szCs w:val="17"/>
                    </w:rPr>
                    <w:t>LOW</w:t>
                  </w:r>
                </w:p>
              </w:tc>
            </w:tr>
          </w:tbl>
          <w:p w14:paraId="39676DB1" w14:textId="77777777" w:rsidR="00F754DF" w:rsidRDefault="00F754DF"/>
        </w:tc>
        <w:tc>
          <w:tcPr>
            <w:tcW w:w="7960" w:type="dxa"/>
            <w:vAlign w:val="center"/>
          </w:tcPr>
          <w:p w14:paraId="4FE7FED5" w14:textId="77777777" w:rsidR="00F754DF" w:rsidRDefault="00000000">
            <w:r>
              <w:rPr>
                <w:b/>
                <w:bCs/>
                <w:color w:val="1F4E79"/>
                <w:sz w:val="21"/>
                <w:szCs w:val="21"/>
              </w:rPr>
              <w:t xml:space="preserve">L2  </w:t>
            </w:r>
            <w:r>
              <w:rPr>
                <w:b/>
                <w:bCs/>
                <w:sz w:val="21"/>
                <w:szCs w:val="21"/>
              </w:rPr>
              <w:t>Seller authentication is username/password only, with no mention of MFA</w:t>
            </w:r>
          </w:p>
        </w:tc>
      </w:tr>
    </w:tbl>
    <w:p w14:paraId="28AA2DD5" w14:textId="77777777" w:rsidR="00F754DF" w:rsidRDefault="00000000">
      <w:pPr>
        <w:spacing w:before="100" w:after="100"/>
      </w:pPr>
      <w:r>
        <w:rPr>
          <w:i/>
          <w:iCs/>
          <w:color w:val="595959"/>
          <w:sz w:val="19"/>
          <w:szCs w:val="19"/>
        </w:rPr>
        <w:t>Draft reference: Section 10, first sentence</w:t>
      </w:r>
    </w:p>
    <w:p w14:paraId="23AD08B7" w14:textId="77777777" w:rsidR="00F754DF" w:rsidRDefault="00000000">
      <w:pPr>
        <w:spacing w:after="80"/>
      </w:pPr>
      <w:r>
        <w:rPr>
          <w:b/>
          <w:bCs/>
        </w:rPr>
        <w:t xml:space="preserve">Problem: </w:t>
      </w:r>
      <w:r>
        <w:t>No additional authentication factor is described for the seller dashboard.</w:t>
      </w:r>
    </w:p>
    <w:p w14:paraId="40342122" w14:textId="77777777" w:rsidR="00F754DF" w:rsidRDefault="00000000">
      <w:pPr>
        <w:spacing w:after="80"/>
      </w:pPr>
      <w:r>
        <w:rPr>
          <w:b/>
          <w:bCs/>
        </w:rPr>
        <w:t xml:space="preserve">Why it matters here: </w:t>
      </w:r>
      <w:r>
        <w:t>Given that a compromised seller account is a path to seeing that seller's own order and (depending on the fix to Finding C5) payout configuration, password-only auth is thinner than ideal — but this is a smaller, more conventional gap than the IDOR (Finding C4) or the unsigned webhook (Finding C6), and password-only auth alone isn't unusual for a B2B portal.</w:t>
      </w:r>
    </w:p>
    <w:p w14:paraId="2AE7E839" w14:textId="77777777" w:rsidR="00F754DF" w:rsidRDefault="00000000">
      <w:pPr>
        <w:spacing w:after="240"/>
      </w:pPr>
      <w:r>
        <w:rPr>
          <w:b/>
          <w:bCs/>
        </w:rPr>
        <w:t xml:space="preserve">Fix: </w:t>
      </w:r>
      <w:r>
        <w:t>Support MFA for the seller dashboard; consider making it mandatory given what a compromised account can expose once Finding C4 is fixed and seller_id is correctly tied to the authenticated session.</w:t>
      </w:r>
    </w:p>
    <w:p w14:paraId="1DC4A881" w14:textId="77777777" w:rsidR="00F754DF" w:rsidRDefault="00F754DF">
      <w:pPr>
        <w:pBdr>
          <w:bottom w:val="single" w:sz="4" w:space="6" w:color="D9D9D9"/>
        </w:pBdr>
        <w:spacing w:after="240"/>
      </w:pPr>
    </w:p>
    <w:p w14:paraId="1C810F84" w14:textId="77777777" w:rsidR="00F754DF" w:rsidRDefault="00000000">
      <w:r>
        <w:br w:type="page"/>
      </w:r>
    </w:p>
    <w:p w14:paraId="1E3D0CB4" w14:textId="77777777" w:rsidR="00F754DF" w:rsidRDefault="00000000">
      <w:pPr>
        <w:pStyle w:val="Heading1"/>
      </w:pPr>
      <w:r>
        <w:lastRenderedPageBreak/>
        <w:t>7. What the Draft Gets Right</w:t>
      </w:r>
    </w:p>
    <w:p w14:paraId="271D0F63" w14:textId="77777777" w:rsidR="00F754DF" w:rsidRDefault="00000000">
      <w:pPr>
        <w:spacing w:after="160" w:line="276" w:lineRule="auto"/>
      </w:pPr>
      <w:r>
        <w:t>A review that finds nothing correct is as miscalibrated as one that finds nothing wrong, so this section is here deliberately.</w:t>
      </w:r>
    </w:p>
    <w:p w14:paraId="20E41312" w14:textId="77777777" w:rsidR="00F754DF" w:rsidRDefault="00000000">
      <w:pPr>
        <w:pStyle w:val="Heading2"/>
      </w:pPr>
      <w:r>
        <w:t>7.1 Settlement rounding</w:t>
      </w:r>
    </w:p>
    <w:p w14:paraId="68BC65AA" w14:textId="77777777" w:rsidR="00F754DF" w:rsidRDefault="00000000">
      <w:pPr>
        <w:spacing w:after="160" w:line="276" w:lineRule="auto"/>
      </w:pPr>
      <w:r>
        <w:t>Summing every line total across a seller's orders first, then applying commission and currency rounding once at the end (Section 6, first paragraph), is the right call, not a shortcut. Rounding once at the end of an aggregation is more accurate than rounding per line and summing rounded values, because per-line rounding error compounds across many lines into a larger total discrepancy. Given the business's stated 100%-accuracy-to-the-minor-unit requirement, this is the only approach that doesn't introduce avoidable drift — it should be kept exactly as specified.</w:t>
      </w:r>
    </w:p>
    <w:p w14:paraId="1E951994" w14:textId="77777777" w:rsidR="00F754DF" w:rsidRDefault="00000000">
      <w:pPr>
        <w:pStyle w:val="Heading2"/>
      </w:pPr>
      <w:r>
        <w:t>7.2 Overall shape of the design</w:t>
      </w:r>
    </w:p>
    <w:p w14:paraId="59030F0B" w14:textId="77777777" w:rsidR="00F754DF" w:rsidRDefault="00000000">
      <w:pPr>
        <w:spacing w:after="160" w:line="276" w:lineRule="auto"/>
      </w:pPr>
      <w:r>
        <w:t>Webhook-driven ingestion backed by a poll-based safety net, queue consumers doing the integration work, MySQL as the transactional store with a search-optimized layer for fast reads, and a daily settlement batch are all reasonable architectural choices for this problem — the issues identified above are about specific mechanisms within that shape (durability of dedup, write ownership for inventory, authorization boundaries), not about the shape itself. A team picking up this draft and fixing the findings above would not need to start over.</w:t>
      </w:r>
    </w:p>
    <w:p w14:paraId="6564EF63" w14:textId="77777777" w:rsidR="00F754DF" w:rsidRDefault="00000000">
      <w:r>
        <w:br w:type="page"/>
      </w:r>
    </w:p>
    <w:p w14:paraId="6C40935C" w14:textId="77777777" w:rsidR="00F754DF" w:rsidRDefault="00000000">
      <w:pPr>
        <w:pStyle w:val="Heading1"/>
      </w:pPr>
      <w:r>
        <w:lastRenderedPageBreak/>
        <w:t>8. Systemic Patterns Behind the Individual Findings</w:t>
      </w:r>
    </w:p>
    <w:p w14:paraId="04622DEE" w14:textId="77777777" w:rsidR="00F754DF" w:rsidRDefault="00000000">
      <w:pPr>
        <w:spacing w:after="160" w:line="276" w:lineRule="auto"/>
      </w:pPr>
      <w:r>
        <w:t>Several findings above are symptoms of the same small number of underlying design habits, worth naming directly because fixing the pattern prevents the next instance of it, not just the ones already found.</w:t>
      </w:r>
    </w:p>
    <w:p w14:paraId="4588C087" w14:textId="77777777" w:rsidR="00F754DF" w:rsidRDefault="00000000">
      <w:pPr>
        <w:pStyle w:val="Heading2"/>
      </w:pPr>
      <w:r>
        <w:t>8.1 Claiming a stronger guarantee than the mechanism provides</w:t>
      </w:r>
    </w:p>
    <w:p w14:paraId="2A4ED64F" w14:textId="77777777" w:rsidR="00F754DF" w:rsidRDefault="00000000">
      <w:pPr>
        <w:spacing w:after="160" w:line="276" w:lineRule="auto"/>
      </w:pPr>
      <w:r>
        <w:t>Exactly-once delivery from the queue (Finding C2), a guarantee that the ERP always receives every order despite a bounded 5-retry limit (referenced under C2/C1's discussion), and RPO 0 from an asynchronously replicated store (Finding C7) are three separate instances of the same habit: writing down the guarantee the team wants, rather than the guarantee the chosen mechanism actually delivers. The fix is procedural as much as technical — any claimed guarantee in a design document should be traceable to the specific mechanism that provides it, and reviewed for whether that mechanism's actual documented behavior supports the claim.</w:t>
      </w:r>
    </w:p>
    <w:p w14:paraId="2D805151" w14:textId="77777777" w:rsidR="00F754DF" w:rsidRDefault="00000000">
      <w:pPr>
        <w:pStyle w:val="Heading2"/>
      </w:pPr>
      <w:r>
        <w:t>8.2 No single-writer discipline where it matters most</w:t>
      </w:r>
    </w:p>
    <w:p w14:paraId="2EBC683E" w14:textId="77777777" w:rsidR="00F754DF" w:rsidRDefault="00000000">
      <w:pPr>
        <w:spacing w:after="160" w:line="276" w:lineRule="auto"/>
      </w:pPr>
      <w:r>
        <w:t>The inventory race (Finding C3) is the clearest instance, but the same shape of mistake — multiple paths able to write the same fact with no coordination between them — is the underlying issue. Anywhere money or stock quantity can be written, there should be exactly one logical writer, with every other path that wants to influence that value going through it rather than writing directly.</w:t>
      </w:r>
    </w:p>
    <w:p w14:paraId="0CF7E7DF" w14:textId="77777777" w:rsidR="00F754DF" w:rsidRDefault="00000000">
      <w:pPr>
        <w:pStyle w:val="Heading2"/>
      </w:pPr>
      <w:r>
        <w:t>8.3 No authentication or authorization boundary on two sensitive surfaces</w:t>
      </w:r>
    </w:p>
    <w:p w14:paraId="1D870538" w14:textId="77777777" w:rsidR="00F754DF" w:rsidRDefault="00000000">
      <w:pPr>
        <w:spacing w:after="160" w:line="276" w:lineRule="auto"/>
      </w:pPr>
      <w:r>
        <w:t>The unsigned webhook (Finding C6) and the client-trusted seller_id (Finding C4) are different surfaces with the same root mistake: treating reachability as equivalent to legitimacy. A public endpoint and an authenticated session both need a server-side check of who's actually on the other end of the request, and neither of these two surfaces has one as described.</w:t>
      </w:r>
    </w:p>
    <w:p w14:paraId="5FDFF974" w14:textId="77777777" w:rsidR="00F754DF" w:rsidRDefault="00000000">
      <w:r>
        <w:br w:type="page"/>
      </w:r>
    </w:p>
    <w:p w14:paraId="2E71B541" w14:textId="77777777" w:rsidR="00F754DF" w:rsidRDefault="00000000">
      <w:pPr>
        <w:pStyle w:val="Heading1"/>
      </w:pPr>
      <w:r>
        <w:lastRenderedPageBreak/>
        <w:t>9. Questions to Verify Before Sign-Off</w:t>
      </w:r>
    </w:p>
    <w:p w14:paraId="5B43377C" w14:textId="77777777" w:rsidR="00F754DF" w:rsidRDefault="00000000">
      <w:pPr>
        <w:spacing w:after="160" w:line="276" w:lineRule="auto"/>
      </w:pPr>
      <w:r>
        <w:t>Pulled together from the individual findings above so they're easy to track as a single list.</w:t>
      </w:r>
    </w:p>
    <w:p w14:paraId="3CB464B7" w14:textId="77777777" w:rsidR="00F754DF" w:rsidRDefault="00000000">
      <w:pPr>
        <w:pStyle w:val="ListParagraph"/>
        <w:numPr>
          <w:ilvl w:val="0"/>
          <w:numId w:val="3"/>
        </w:numPr>
        <w:spacing w:after="100" w:line="276" w:lineRule="auto"/>
      </w:pPr>
      <w:r>
        <w:t>Does Sellaxis's inventory feed carry a per-offer version or monotonic timestamp on every delivery path (webhook and poll), not only the nightly snapshot? (Finding C3.)</w:t>
      </w:r>
    </w:p>
    <w:p w14:paraId="6F88A40F" w14:textId="77777777" w:rsidR="00F754DF" w:rsidRDefault="00000000">
      <w:pPr>
        <w:pStyle w:val="ListParagraph"/>
        <w:numPr>
          <w:ilvl w:val="0"/>
          <w:numId w:val="3"/>
        </w:numPr>
        <w:spacing w:after="100" w:line="276" w:lineRule="auto"/>
      </w:pPr>
      <w:r>
        <w:t>Does Sellaxis support webhook signature verification (HMAC or equivalent) today? If not, this needs to be raised with Sellaxis directly. (Finding C6.)</w:t>
      </w:r>
    </w:p>
    <w:p w14:paraId="680ABCA5" w14:textId="77777777" w:rsidR="00F754DF" w:rsidRDefault="00000000">
      <w:pPr>
        <w:pStyle w:val="ListParagraph"/>
        <w:numPr>
          <w:ilvl w:val="0"/>
          <w:numId w:val="3"/>
        </w:numPr>
        <w:spacing w:after="100" w:line="276" w:lineRule="auto"/>
      </w:pPr>
      <w:r>
        <w:t>Does Sellaxis ever capture payment upstream of Forgeline's own gateway call, or is capture entirely Forgeline's decision? This changes how Finding C1's fix should be sequenced. (Finding C1.)</w:t>
      </w:r>
    </w:p>
    <w:p w14:paraId="7EF4070A" w14:textId="77777777" w:rsidR="00F754DF" w:rsidRDefault="00000000">
      <w:pPr>
        <w:pStyle w:val="ListParagraph"/>
        <w:numPr>
          <w:ilvl w:val="0"/>
          <w:numId w:val="3"/>
        </w:numPr>
        <w:spacing w:after="100" w:line="276" w:lineRule="auto"/>
      </w:pPr>
      <w:r>
        <w:t>What compliance regime applies to seller payout details across both India and Germany — does it require tokenized payout rather than encrypted in-house storage? (Finding C5.)</w:t>
      </w:r>
    </w:p>
    <w:p w14:paraId="72BF098F" w14:textId="77777777" w:rsidR="00F754DF" w:rsidRDefault="00000000">
      <w:pPr>
        <w:pStyle w:val="ListParagraph"/>
        <w:numPr>
          <w:ilvl w:val="0"/>
          <w:numId w:val="3"/>
        </w:numPr>
        <w:spacing w:after="100" w:line="276" w:lineRule="auto"/>
      </w:pPr>
      <w:r>
        <w:t>What's Forgeline's actual historical peak-to-average order volume ratio, to replace the illustrative multiplier used in Finding H4 with a real number? (Finding H4.)</w:t>
      </w:r>
    </w:p>
    <w:p w14:paraId="25DEA7C4" w14:textId="77777777" w:rsidR="00F754DF" w:rsidRDefault="00000000">
      <w:pPr>
        <w:pStyle w:val="ListParagraph"/>
        <w:numPr>
          <w:ilvl w:val="0"/>
          <w:numId w:val="3"/>
        </w:numPr>
        <w:spacing w:after="100" w:line="276" w:lineRule="auto"/>
      </w:pPr>
      <w:r>
        <w:t>Is RPO 0 / RTO 5 minutes a contractual SLA with a customer or partner, or an internal target? This affects how much justification semi-synchronous replication needs. (Finding C7.)</w:t>
      </w:r>
    </w:p>
    <w:p w14:paraId="69D6C492" w14:textId="77777777" w:rsidR="00F754DF" w:rsidRDefault="00000000">
      <w:r>
        <w:br w:type="page"/>
      </w:r>
    </w:p>
    <w:p w14:paraId="6F4001FB" w14:textId="77777777" w:rsidR="00F754DF" w:rsidRDefault="00000000">
      <w:pPr>
        <w:pStyle w:val="Heading1"/>
      </w:pPr>
      <w:r>
        <w:lastRenderedPageBreak/>
        <w:t>10. Suggested Remediation Order</w:t>
      </w:r>
    </w:p>
    <w:p w14:paraId="0598FE70" w14:textId="77777777" w:rsidR="00F754DF" w:rsidRDefault="00000000">
      <w:pPr>
        <w:spacing w:after="160" w:line="276" w:lineRule="auto"/>
      </w:pPr>
      <w:r>
        <w:t>Not the same as the severity ranking above — severity says what hurts most if shipped as-is; this section says what to fix first given that some fixes are prerequisites for others, or close off entire classes of the findings above at once.</w:t>
      </w:r>
    </w:p>
    <w:p w14:paraId="5965B2BA" w14:textId="77777777" w:rsidR="00F754DF" w:rsidRDefault="00000000">
      <w:pPr>
        <w:pStyle w:val="ListParagraph"/>
        <w:numPr>
          <w:ilvl w:val="0"/>
          <w:numId w:val="4"/>
        </w:numPr>
        <w:spacing w:after="100" w:line="276" w:lineRule="auto"/>
      </w:pPr>
      <w:r>
        <w:t>Webhook signature verification (C6) first, full stop — every other fix is verifying or processing data that, without this, can't be trusted to have come from Sellaxis at all.</w:t>
      </w:r>
    </w:p>
    <w:p w14:paraId="2D867192" w14:textId="77777777" w:rsidR="00F754DF" w:rsidRDefault="00000000">
      <w:pPr>
        <w:pStyle w:val="ListParagraph"/>
        <w:numPr>
          <w:ilvl w:val="0"/>
          <w:numId w:val="4"/>
        </w:numPr>
        <w:spacing w:after="100" w:line="276" w:lineRule="auto"/>
      </w:pPr>
      <w:r>
        <w:t>Durable dedup and idempotent consumers (C2), together — they're one fix conceptually (treat delivery as at-least-once end to end) even though they're two mechanisms.</w:t>
      </w:r>
    </w:p>
    <w:p w14:paraId="19BFCC60" w14:textId="77777777" w:rsidR="00F754DF" w:rsidRDefault="00000000">
      <w:pPr>
        <w:pStyle w:val="ListParagraph"/>
        <w:numPr>
          <w:ilvl w:val="0"/>
          <w:numId w:val="4"/>
        </w:numPr>
        <w:spacing w:after="100" w:line="276" w:lineRule="auto"/>
      </w:pPr>
      <w:r>
        <w:t>Payment-capture reordering (C1) and order-line auto-accept gating (C8) — both sit in the same order-orchestration consumer and are naturally fixed in the same pass.</w:t>
      </w:r>
    </w:p>
    <w:p w14:paraId="6E104CA6" w14:textId="77777777" w:rsidR="00F754DF" w:rsidRDefault="00000000">
      <w:pPr>
        <w:pStyle w:val="ListParagraph"/>
        <w:numPr>
          <w:ilvl w:val="0"/>
          <w:numId w:val="4"/>
        </w:numPr>
        <w:spacing w:after="100" w:line="276" w:lineRule="auto"/>
      </w:pPr>
      <w:r>
        <w:t>Single-writer inventory with versioning (C3) — this also directly resolves the OpenSearch staleness risk to checkout-time stock checks (H3) if reads are routed correctly at the same time.</w:t>
      </w:r>
    </w:p>
    <w:p w14:paraId="02596AFA" w14:textId="77777777" w:rsidR="00F754DF" w:rsidRDefault="00000000">
      <w:pPr>
        <w:pStyle w:val="ListParagraph"/>
        <w:numPr>
          <w:ilvl w:val="0"/>
          <w:numId w:val="4"/>
        </w:numPr>
        <w:spacing w:after="100" w:line="276" w:lineRule="auto"/>
      </w:pPr>
      <w:r>
        <w:t>Seller dashboard authorization (C4) — small, isolated, no dependency on the items above; can run in parallel with anything else on this list.</w:t>
      </w:r>
    </w:p>
    <w:p w14:paraId="3B69B73C" w14:textId="77777777" w:rsidR="00F754DF" w:rsidRDefault="00000000">
      <w:pPr>
        <w:pStyle w:val="ListParagraph"/>
        <w:numPr>
          <w:ilvl w:val="0"/>
          <w:numId w:val="4"/>
        </w:numPr>
        <w:spacing w:after="100" w:line="276" w:lineRule="auto"/>
      </w:pPr>
      <w:r>
        <w:t>Settlement timestamp normalization (C9) and the rollback procedure (H5) — both are contained to their respective subsystems (settlement batch, deploy pipeline) and don't block or get blocked by the rest.</w:t>
      </w:r>
    </w:p>
    <w:p w14:paraId="61A75E66" w14:textId="77777777" w:rsidR="00F754DF" w:rsidRDefault="00000000">
      <w:pPr>
        <w:pStyle w:val="ListParagraph"/>
        <w:numPr>
          <w:ilvl w:val="0"/>
          <w:numId w:val="4"/>
        </w:numPr>
        <w:spacing w:after="100" w:line="276" w:lineRule="auto"/>
      </w:pPr>
      <w:r>
        <w:t>Replication topology decision (C7) and bank-detail storage (C5) — both need a decision from Forgeline (semi-sync vs. restated RPO; tokenize vs. encrypt-in-house) before implementation starts, so raise these early even though the code change itself can land later.</w:t>
      </w:r>
    </w:p>
    <w:p w14:paraId="6CDD6B95" w14:textId="77777777" w:rsidR="00F754DF" w:rsidRDefault="00000000">
      <w:pPr>
        <w:pStyle w:val="ListParagraph"/>
        <w:numPr>
          <w:ilvl w:val="0"/>
          <w:numId w:val="4"/>
        </w:numPr>
        <w:spacing w:after="100" w:line="276" w:lineRule="auto"/>
      </w:pPr>
      <w:r>
        <w:t>Everything in Sections 4–6 not already covered above — High, Medium, and Low findings that aren't prerequisites for anything else, sequenced opportunistically alongside the above.</w:t>
      </w:r>
    </w:p>
    <w:p w14:paraId="05752EFD" w14:textId="77777777" w:rsidR="00F754DF" w:rsidRDefault="00F754DF">
      <w:pPr>
        <w:spacing w:after="300"/>
      </w:pPr>
    </w:p>
    <w:p w14:paraId="7B985D20" w14:textId="1E6A8C18" w:rsidR="00F754DF" w:rsidRDefault="00000000">
      <w:pPr>
        <w:pBdr>
          <w:top w:val="single" w:sz="6" w:space="8" w:color="B7C6D6"/>
        </w:pBdr>
        <w:spacing w:before="200"/>
      </w:pPr>
      <w:r>
        <w:rPr>
          <w:b/>
          <w:bCs/>
        </w:rPr>
        <w:t>End of Part B.</w:t>
      </w:r>
    </w:p>
    <w:sectPr w:rsidR="00F754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A3D88" w14:textId="77777777" w:rsidR="00F96238" w:rsidRDefault="00F96238">
      <w:r>
        <w:separator/>
      </w:r>
    </w:p>
  </w:endnote>
  <w:endnote w:type="continuationSeparator" w:id="0">
    <w:p w14:paraId="5218383D" w14:textId="77777777" w:rsidR="00F96238" w:rsidRDefault="00F96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592F" w14:textId="77777777" w:rsidR="00F754DF" w:rsidRDefault="00000000">
    <w:pPr>
      <w:tabs>
        <w:tab w:val="right" w:pos="9026"/>
      </w:tabs>
    </w:pPr>
    <w:r>
      <w:rPr>
        <w:color w:val="808080"/>
        <w:sz w:val="16"/>
        <w:szCs w:val="16"/>
      </w:rPr>
      <w:t>v1.0 — 23 June 2026</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2A8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2A8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F746" w14:textId="77777777" w:rsidR="00F96238" w:rsidRDefault="00F96238">
      <w:r>
        <w:separator/>
      </w:r>
    </w:p>
  </w:footnote>
  <w:footnote w:type="continuationSeparator" w:id="0">
    <w:p w14:paraId="6B6FF51F" w14:textId="77777777" w:rsidR="00F96238" w:rsidRDefault="00F96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2A8D" w14:textId="77777777" w:rsidR="00F754DF" w:rsidRDefault="00000000">
    <w:pPr>
      <w:pBdr>
        <w:bottom w:val="single" w:sz="4" w:space="4" w:color="B7C6D6"/>
      </w:pBdr>
      <w:tabs>
        <w:tab w:val="right" w:pos="9026"/>
      </w:tabs>
    </w:pPr>
    <w:r>
      <w:rPr>
        <w:color w:val="808080"/>
        <w:sz w:val="16"/>
        <w:szCs w:val="16"/>
      </w:rPr>
      <w:t>Forgeline Marketplace Integration — Part B</w:t>
    </w:r>
    <w:r>
      <w:rPr>
        <w:color w:val="808080"/>
        <w:sz w:val="16"/>
        <w:szCs w:val="16"/>
      </w:rPr>
      <w:tab/>
      <w:t>Architecture Review of DRAFT 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455"/>
    <w:multiLevelType w:val="hybridMultilevel"/>
    <w:tmpl w:val="CC4AEAFE"/>
    <w:lvl w:ilvl="0" w:tplc="BA0C08E4">
      <w:start w:val="1"/>
      <w:numFmt w:val="bullet"/>
      <w:lvlText w:val="•"/>
      <w:lvlJc w:val="left"/>
      <w:pPr>
        <w:ind w:left="720" w:hanging="360"/>
      </w:pPr>
    </w:lvl>
    <w:lvl w:ilvl="1" w:tplc="536EF552">
      <w:start w:val="1"/>
      <w:numFmt w:val="bullet"/>
      <w:lvlText w:val="◦"/>
      <w:lvlJc w:val="left"/>
      <w:pPr>
        <w:ind w:left="1080" w:hanging="360"/>
      </w:pPr>
    </w:lvl>
    <w:lvl w:ilvl="2" w:tplc="E98E9C24">
      <w:numFmt w:val="decimal"/>
      <w:lvlText w:val=""/>
      <w:lvlJc w:val="left"/>
    </w:lvl>
    <w:lvl w:ilvl="3" w:tplc="C1A45C72">
      <w:numFmt w:val="decimal"/>
      <w:lvlText w:val=""/>
      <w:lvlJc w:val="left"/>
    </w:lvl>
    <w:lvl w:ilvl="4" w:tplc="DCE012E8">
      <w:numFmt w:val="decimal"/>
      <w:lvlText w:val=""/>
      <w:lvlJc w:val="left"/>
    </w:lvl>
    <w:lvl w:ilvl="5" w:tplc="D196216A">
      <w:numFmt w:val="decimal"/>
      <w:lvlText w:val=""/>
      <w:lvlJc w:val="left"/>
    </w:lvl>
    <w:lvl w:ilvl="6" w:tplc="315C1128">
      <w:numFmt w:val="decimal"/>
      <w:lvlText w:val=""/>
      <w:lvlJc w:val="left"/>
    </w:lvl>
    <w:lvl w:ilvl="7" w:tplc="680AC884">
      <w:numFmt w:val="decimal"/>
      <w:lvlText w:val=""/>
      <w:lvlJc w:val="left"/>
    </w:lvl>
    <w:lvl w:ilvl="8" w:tplc="FB8A8D06">
      <w:numFmt w:val="decimal"/>
      <w:lvlText w:val=""/>
      <w:lvlJc w:val="left"/>
    </w:lvl>
  </w:abstractNum>
  <w:abstractNum w:abstractNumId="1" w15:restartNumberingAfterBreak="0">
    <w:nsid w:val="2A746E80"/>
    <w:multiLevelType w:val="hybridMultilevel"/>
    <w:tmpl w:val="F7644D84"/>
    <w:lvl w:ilvl="0" w:tplc="5AEA3A58">
      <w:start w:val="1"/>
      <w:numFmt w:val="decimal"/>
      <w:lvlText w:val="%1."/>
      <w:lvlJc w:val="left"/>
      <w:pPr>
        <w:ind w:left="720" w:hanging="360"/>
      </w:pPr>
    </w:lvl>
    <w:lvl w:ilvl="1" w:tplc="9C5E609C">
      <w:numFmt w:val="decimal"/>
      <w:lvlText w:val=""/>
      <w:lvlJc w:val="left"/>
    </w:lvl>
    <w:lvl w:ilvl="2" w:tplc="C6A0857C">
      <w:numFmt w:val="decimal"/>
      <w:lvlText w:val=""/>
      <w:lvlJc w:val="left"/>
    </w:lvl>
    <w:lvl w:ilvl="3" w:tplc="86EC837C">
      <w:numFmt w:val="decimal"/>
      <w:lvlText w:val=""/>
      <w:lvlJc w:val="left"/>
    </w:lvl>
    <w:lvl w:ilvl="4" w:tplc="BED2F6B4">
      <w:numFmt w:val="decimal"/>
      <w:lvlText w:val=""/>
      <w:lvlJc w:val="left"/>
    </w:lvl>
    <w:lvl w:ilvl="5" w:tplc="F62CA97E">
      <w:numFmt w:val="decimal"/>
      <w:lvlText w:val=""/>
      <w:lvlJc w:val="left"/>
    </w:lvl>
    <w:lvl w:ilvl="6" w:tplc="C44660C0">
      <w:numFmt w:val="decimal"/>
      <w:lvlText w:val=""/>
      <w:lvlJc w:val="left"/>
    </w:lvl>
    <w:lvl w:ilvl="7" w:tplc="16865258">
      <w:numFmt w:val="decimal"/>
      <w:lvlText w:val=""/>
      <w:lvlJc w:val="left"/>
    </w:lvl>
    <w:lvl w:ilvl="8" w:tplc="63B0D68E">
      <w:numFmt w:val="decimal"/>
      <w:lvlText w:val=""/>
      <w:lvlJc w:val="left"/>
    </w:lvl>
  </w:abstractNum>
  <w:abstractNum w:abstractNumId="2" w15:restartNumberingAfterBreak="0">
    <w:nsid w:val="2E646CF6"/>
    <w:multiLevelType w:val="hybridMultilevel"/>
    <w:tmpl w:val="FA7028CC"/>
    <w:lvl w:ilvl="0" w:tplc="7E0E617C">
      <w:start w:val="1"/>
      <w:numFmt w:val="bullet"/>
      <w:lvlText w:val="●"/>
      <w:lvlJc w:val="left"/>
      <w:pPr>
        <w:ind w:left="720" w:hanging="360"/>
      </w:pPr>
    </w:lvl>
    <w:lvl w:ilvl="1" w:tplc="5552952C">
      <w:start w:val="1"/>
      <w:numFmt w:val="bullet"/>
      <w:lvlText w:val="○"/>
      <w:lvlJc w:val="left"/>
      <w:pPr>
        <w:ind w:left="1440" w:hanging="360"/>
      </w:pPr>
    </w:lvl>
    <w:lvl w:ilvl="2" w:tplc="4004609C">
      <w:start w:val="1"/>
      <w:numFmt w:val="bullet"/>
      <w:lvlText w:val="■"/>
      <w:lvlJc w:val="left"/>
      <w:pPr>
        <w:ind w:left="2160" w:hanging="360"/>
      </w:pPr>
    </w:lvl>
    <w:lvl w:ilvl="3" w:tplc="BFF48136">
      <w:start w:val="1"/>
      <w:numFmt w:val="bullet"/>
      <w:lvlText w:val="●"/>
      <w:lvlJc w:val="left"/>
      <w:pPr>
        <w:ind w:left="2880" w:hanging="360"/>
      </w:pPr>
    </w:lvl>
    <w:lvl w:ilvl="4" w:tplc="6406CCBA">
      <w:start w:val="1"/>
      <w:numFmt w:val="bullet"/>
      <w:lvlText w:val="○"/>
      <w:lvlJc w:val="left"/>
      <w:pPr>
        <w:ind w:left="3600" w:hanging="360"/>
      </w:pPr>
    </w:lvl>
    <w:lvl w:ilvl="5" w:tplc="ACFE0FF0">
      <w:start w:val="1"/>
      <w:numFmt w:val="bullet"/>
      <w:lvlText w:val="■"/>
      <w:lvlJc w:val="left"/>
      <w:pPr>
        <w:ind w:left="4320" w:hanging="360"/>
      </w:pPr>
    </w:lvl>
    <w:lvl w:ilvl="6" w:tplc="EF72A6BA">
      <w:start w:val="1"/>
      <w:numFmt w:val="bullet"/>
      <w:lvlText w:val="●"/>
      <w:lvlJc w:val="left"/>
      <w:pPr>
        <w:ind w:left="5040" w:hanging="360"/>
      </w:pPr>
    </w:lvl>
    <w:lvl w:ilvl="7" w:tplc="D7D247B6">
      <w:start w:val="1"/>
      <w:numFmt w:val="bullet"/>
      <w:lvlText w:val="●"/>
      <w:lvlJc w:val="left"/>
      <w:pPr>
        <w:ind w:left="5760" w:hanging="360"/>
      </w:pPr>
    </w:lvl>
    <w:lvl w:ilvl="8" w:tplc="8C2CD5BC">
      <w:start w:val="1"/>
      <w:numFmt w:val="bullet"/>
      <w:lvlText w:val="●"/>
      <w:lvlJc w:val="left"/>
      <w:pPr>
        <w:ind w:left="6480" w:hanging="360"/>
      </w:pPr>
    </w:lvl>
  </w:abstractNum>
  <w:abstractNum w:abstractNumId="3" w15:restartNumberingAfterBreak="0">
    <w:nsid w:val="45D3731B"/>
    <w:multiLevelType w:val="hybridMultilevel"/>
    <w:tmpl w:val="39FE403A"/>
    <w:lvl w:ilvl="0" w:tplc="7242BBD8">
      <w:start w:val="1"/>
      <w:numFmt w:val="decimal"/>
      <w:lvlText w:val="%1."/>
      <w:lvlJc w:val="left"/>
      <w:pPr>
        <w:ind w:left="720" w:hanging="360"/>
      </w:pPr>
    </w:lvl>
    <w:lvl w:ilvl="1" w:tplc="F236BB9C">
      <w:numFmt w:val="decimal"/>
      <w:lvlText w:val=""/>
      <w:lvlJc w:val="left"/>
    </w:lvl>
    <w:lvl w:ilvl="2" w:tplc="F6F0F020">
      <w:numFmt w:val="decimal"/>
      <w:lvlText w:val=""/>
      <w:lvlJc w:val="left"/>
    </w:lvl>
    <w:lvl w:ilvl="3" w:tplc="95A0C9A2">
      <w:numFmt w:val="decimal"/>
      <w:lvlText w:val=""/>
      <w:lvlJc w:val="left"/>
    </w:lvl>
    <w:lvl w:ilvl="4" w:tplc="D6843C38">
      <w:numFmt w:val="decimal"/>
      <w:lvlText w:val=""/>
      <w:lvlJc w:val="left"/>
    </w:lvl>
    <w:lvl w:ilvl="5" w:tplc="C1126ED6">
      <w:numFmt w:val="decimal"/>
      <w:lvlText w:val=""/>
      <w:lvlJc w:val="left"/>
    </w:lvl>
    <w:lvl w:ilvl="6" w:tplc="86C6F550">
      <w:numFmt w:val="decimal"/>
      <w:lvlText w:val=""/>
      <w:lvlJc w:val="left"/>
    </w:lvl>
    <w:lvl w:ilvl="7" w:tplc="8DC687DE">
      <w:numFmt w:val="decimal"/>
      <w:lvlText w:val=""/>
      <w:lvlJc w:val="left"/>
    </w:lvl>
    <w:lvl w:ilvl="8" w:tplc="BF2A691C">
      <w:numFmt w:val="decimal"/>
      <w:lvlText w:val=""/>
      <w:lvlJc w:val="left"/>
    </w:lvl>
  </w:abstractNum>
  <w:abstractNum w:abstractNumId="4" w15:restartNumberingAfterBreak="0">
    <w:nsid w:val="6F8E7533"/>
    <w:multiLevelType w:val="hybridMultilevel"/>
    <w:tmpl w:val="F8C43F2A"/>
    <w:lvl w:ilvl="0" w:tplc="A51465A2">
      <w:start w:val="1"/>
      <w:numFmt w:val="decimal"/>
      <w:lvlText w:val="%1."/>
      <w:lvlJc w:val="left"/>
      <w:pPr>
        <w:ind w:left="720" w:hanging="360"/>
      </w:pPr>
    </w:lvl>
    <w:lvl w:ilvl="1" w:tplc="57B898BC">
      <w:numFmt w:val="decimal"/>
      <w:lvlText w:val=""/>
      <w:lvlJc w:val="left"/>
    </w:lvl>
    <w:lvl w:ilvl="2" w:tplc="0DCEE81E">
      <w:numFmt w:val="decimal"/>
      <w:lvlText w:val=""/>
      <w:lvlJc w:val="left"/>
    </w:lvl>
    <w:lvl w:ilvl="3" w:tplc="795C24DA">
      <w:numFmt w:val="decimal"/>
      <w:lvlText w:val=""/>
      <w:lvlJc w:val="left"/>
    </w:lvl>
    <w:lvl w:ilvl="4" w:tplc="390004A2">
      <w:numFmt w:val="decimal"/>
      <w:lvlText w:val=""/>
      <w:lvlJc w:val="left"/>
    </w:lvl>
    <w:lvl w:ilvl="5" w:tplc="12906BBE">
      <w:numFmt w:val="decimal"/>
      <w:lvlText w:val=""/>
      <w:lvlJc w:val="left"/>
    </w:lvl>
    <w:lvl w:ilvl="6" w:tplc="B30AFA1E">
      <w:numFmt w:val="decimal"/>
      <w:lvlText w:val=""/>
      <w:lvlJc w:val="left"/>
    </w:lvl>
    <w:lvl w:ilvl="7" w:tplc="FD7C47FE">
      <w:numFmt w:val="decimal"/>
      <w:lvlText w:val=""/>
      <w:lvlJc w:val="left"/>
    </w:lvl>
    <w:lvl w:ilvl="8" w:tplc="652CB80E">
      <w:numFmt w:val="decimal"/>
      <w:lvlText w:val=""/>
      <w:lvlJc w:val="left"/>
    </w:lvl>
  </w:abstractNum>
  <w:num w:numId="1" w16cid:durableId="1230002212">
    <w:abstractNumId w:val="2"/>
    <w:lvlOverride w:ilvl="0">
      <w:startOverride w:val="1"/>
    </w:lvlOverride>
  </w:num>
  <w:num w:numId="2" w16cid:durableId="1171412370">
    <w:abstractNumId w:val="0"/>
    <w:lvlOverride w:ilvl="0">
      <w:startOverride w:val="1"/>
    </w:lvlOverride>
  </w:num>
  <w:num w:numId="3" w16cid:durableId="562839389">
    <w:abstractNumId w:val="3"/>
    <w:lvlOverride w:ilvl="0">
      <w:startOverride w:val="1"/>
    </w:lvlOverride>
  </w:num>
  <w:num w:numId="4" w16cid:durableId="2088112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4DF"/>
    <w:rsid w:val="00562A8E"/>
    <w:rsid w:val="00C31240"/>
    <w:rsid w:val="00F754DF"/>
    <w:rsid w:val="00F9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2579"/>
  <w15:docId w15:val="{66C3B711-A751-437F-9C06-C9DD0420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20" w:after="200"/>
      <w:outlineLvl w:val="0"/>
    </w:pPr>
    <w:rPr>
      <w:b/>
      <w:bCs/>
      <w:color w:val="1F4E79"/>
      <w:sz w:val="29"/>
      <w:szCs w:val="29"/>
    </w:rPr>
  </w:style>
  <w:style w:type="paragraph" w:styleId="Heading2">
    <w:name w:val="heading 2"/>
    <w:uiPriority w:val="9"/>
    <w:unhideWhenUsed/>
    <w:qFormat/>
    <w:pPr>
      <w:spacing w:before="260" w:after="140"/>
      <w:outlineLvl w:val="1"/>
    </w:pPr>
    <w:rPr>
      <w:b/>
      <w:bCs/>
      <w:color w:val="2E5C8A"/>
      <w:sz w:val="24"/>
      <w:szCs w:val="24"/>
    </w:rPr>
  </w:style>
  <w:style w:type="paragraph" w:styleId="Heading3">
    <w:name w:val="heading 3"/>
    <w:uiPriority w:val="9"/>
    <w:semiHidden/>
    <w:unhideWhenUsed/>
    <w:qFormat/>
    <w:pPr>
      <w:spacing w:before="200" w:after="100"/>
      <w:outlineLvl w:val="2"/>
    </w:pPr>
    <w:rPr>
      <w:b/>
      <w:bCs/>
      <w:i/>
      <w:i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5803</Words>
  <Characters>33079</Characters>
  <Application>Microsoft Office Word</Application>
  <DocSecurity>0</DocSecurity>
  <Lines>275</Lines>
  <Paragraphs>77</Paragraphs>
  <ScaleCrop>false</ScaleCrop>
  <Company/>
  <LinksUpToDate>false</LinksUpToDate>
  <CharactersWithSpaces>38805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NB-WSDL</cp:lastModifiedBy>
  <cp:revision>2</cp:revision>
  <dcterms:created xsi:type="dcterms:W3CDTF">2026-06-24T03:49:00Z</dcterms:created>
  <dcterms:modified xsi:type="dcterms:W3CDTF">2026-06-25T09:52:00Z</dcterms:modified>
</cp:coreProperties>
</file>