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LO7: Earnings, Tax &amp; National Insurance</w:t>
      </w:r>
    </w:p>
    <w:p>
      <w:pPr>
        <w:jc w:val="center"/>
      </w:pPr>
      <w:r>
        <w:rPr>
          <w:i/>
          <w:color w:val="706C60"/>
        </w:rPr>
        <w:t>LIBF CeFS Unit 1 – Introduction to Financial Services · Draft (update when college source material provided)</w:t>
      </w:r>
    </w:p>
    <w:p/>
    <w:p>
      <w:pPr>
        <w:pStyle w:val="Heading1"/>
      </w:pPr>
      <w:r>
        <w:t>1. National Minimum Wage &amp; National Living Wage (2024/25)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Worker 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Hourly rate (2024/25)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21 and over (NLW)</w:t>
            </w:r>
          </w:p>
        </w:tc>
        <w:tc>
          <w:tcPr>
            <w:tcW w:type="dxa" w:w="3135"/>
          </w:tcPr>
          <w:p>
            <w:r>
              <w:t>£11.44</w:t>
            </w:r>
          </w:p>
        </w:tc>
        <w:tc>
          <w:tcPr>
            <w:tcW w:type="dxa" w:w="3135"/>
          </w:tcPr>
          <w:p>
            <w:r>
              <w:t>National Living Wage — highest rate</w:t>
            </w:r>
          </w:p>
        </w:tc>
      </w:tr>
      <w:tr>
        <w:tc>
          <w:tcPr>
            <w:tcW w:type="dxa" w:w="3135"/>
          </w:tcPr>
          <w:p>
            <w:r>
              <w:t>18–20</w:t>
            </w:r>
          </w:p>
        </w:tc>
        <w:tc>
          <w:tcPr>
            <w:tcW w:type="dxa" w:w="3135"/>
          </w:tcPr>
          <w:p>
            <w:r>
              <w:t>£8.60</w:t>
            </w:r>
          </w:p>
        </w:tc>
        <w:tc>
          <w:tcPr>
            <w:tcW w:type="dxa" w:w="3135"/>
          </w:tcPr>
          <w:p>
            <w:r>
              <w:t>National Minimum Wage — young workers rate</w:t>
            </w:r>
          </w:p>
        </w:tc>
      </w:tr>
      <w:tr>
        <w:tc>
          <w:tcPr>
            <w:tcW w:type="dxa" w:w="3135"/>
          </w:tcPr>
          <w:p>
            <w:r>
              <w:t>Under 18 (not apprentice)</w:t>
            </w:r>
          </w:p>
        </w:tc>
        <w:tc>
          <w:tcPr>
            <w:tcW w:type="dxa" w:w="3135"/>
          </w:tcPr>
          <w:p>
            <w:r>
              <w:t>£6.40</w:t>
            </w:r>
          </w:p>
        </w:tc>
        <w:tc>
          <w:tcPr>
            <w:tcW w:type="dxa" w:w="3135"/>
          </w:tcPr>
          <w:p>
            <w:r>
              <w:t>NMW — under-18 rate</w:t>
            </w:r>
          </w:p>
        </w:tc>
      </w:tr>
      <w:tr>
        <w:tc>
          <w:tcPr>
            <w:tcW w:type="dxa" w:w="3135"/>
          </w:tcPr>
          <w:p>
            <w:r>
              <w:t>Apprentice</w:t>
            </w:r>
          </w:p>
        </w:tc>
        <w:tc>
          <w:tcPr>
            <w:tcW w:type="dxa" w:w="3135"/>
          </w:tcPr>
          <w:p>
            <w:r>
              <w:t>£6.40</w:t>
            </w:r>
          </w:p>
        </w:tc>
        <w:tc>
          <w:tcPr>
            <w:tcW w:type="dxa" w:w="3135"/>
          </w:tcPr>
          <w:p>
            <w:r>
              <w:t>Applies to apprentices under 19, OR 19+ in first year of apprenticeship</w:t>
            </w:r>
          </w:p>
        </w:tc>
      </w:tr>
    </w:tbl>
    <w:p/>
    <w:p>
      <w:pPr>
        <w:pStyle w:val="ListBullet"/>
        <w:ind w:left="360"/>
      </w:pPr>
      <w:r>
        <w:rPr>
          <w:b/>
        </w:rPr>
        <w:t xml:space="preserve">Working hours (under 18): </w:t>
      </w:r>
      <w:r>
        <w:t>Workers under 18 may work a maximum of 40 hours per week during term time (school-age restrictions also apply).</w:t>
      </w:r>
    </w:p>
    <w:p>
      <w:pPr>
        <w:shd w:val="clear" w:color="auto" w:fill="E8F4FD"/>
      </w:pPr>
      <w:r>
        <w:rPr>
          <w:i/>
          <w:sz w:val="20"/>
        </w:rPr>
        <w:t>📌  The NLW replaced the previous 25+ rate. From April 2024 the qualifying age dropped from 23 to 21.</w:t>
      </w:r>
    </w:p>
    <w:p>
      <w:pPr>
        <w:pStyle w:val="Heading1"/>
      </w:pPr>
      <w:r>
        <w:t>2. Income Tax (2024/25)</w:t>
      </w:r>
    </w:p>
    <w:p>
      <w:pPr>
        <w:pStyle w:val="ListBullet"/>
        <w:ind w:left="360"/>
      </w:pPr>
      <w:r>
        <w:rPr>
          <w:b/>
        </w:rPr>
        <w:t xml:space="preserve">Personal allowance: </w:t>
      </w:r>
      <w:r>
        <w:t>£12,570 — the amount you can earn before paying income tax.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Band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Taxable income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3135"/>
          </w:tcPr>
          <w:p>
            <w:r>
              <w:t>Personal allowance</w:t>
            </w:r>
          </w:p>
        </w:tc>
        <w:tc>
          <w:tcPr>
            <w:tcW w:type="dxa" w:w="3135"/>
          </w:tcPr>
          <w:p>
            <w:r>
              <w:t>Up to £12,570</w:t>
            </w:r>
          </w:p>
        </w:tc>
        <w:tc>
          <w:tcPr>
            <w:tcW w:type="dxa" w:w="3135"/>
          </w:tcPr>
          <w:p>
            <w:r>
              <w:t>0%</w:t>
            </w:r>
          </w:p>
        </w:tc>
      </w:tr>
      <w:tr>
        <w:tc>
          <w:tcPr>
            <w:tcW w:type="dxa" w:w="3135"/>
          </w:tcPr>
          <w:p>
            <w:r>
              <w:t>Basic rate</w:t>
            </w:r>
          </w:p>
        </w:tc>
        <w:tc>
          <w:tcPr>
            <w:tcW w:type="dxa" w:w="3135"/>
          </w:tcPr>
          <w:p>
            <w:r>
              <w:t>£12,571 – £50,270</w:t>
            </w:r>
          </w:p>
        </w:tc>
        <w:tc>
          <w:tcPr>
            <w:tcW w:type="dxa" w:w="3135"/>
          </w:tcPr>
          <w:p>
            <w:r>
              <w:t>20%</w:t>
            </w:r>
          </w:p>
        </w:tc>
      </w:tr>
      <w:tr>
        <w:tc>
          <w:tcPr>
            <w:tcW w:type="dxa" w:w="3135"/>
          </w:tcPr>
          <w:p>
            <w:r>
              <w:t>Higher rate</w:t>
            </w:r>
          </w:p>
        </w:tc>
        <w:tc>
          <w:tcPr>
            <w:tcW w:type="dxa" w:w="3135"/>
          </w:tcPr>
          <w:p>
            <w:r>
              <w:t>£50,271 – £125,140</w:t>
            </w:r>
          </w:p>
        </w:tc>
        <w:tc>
          <w:tcPr>
            <w:tcW w:type="dxa" w:w="3135"/>
          </w:tcPr>
          <w:p>
            <w:r>
              <w:t>40%</w:t>
            </w:r>
          </w:p>
        </w:tc>
      </w:tr>
      <w:tr>
        <w:tc>
          <w:tcPr>
            <w:tcW w:type="dxa" w:w="3135"/>
          </w:tcPr>
          <w:p>
            <w:r>
              <w:t>Additional rate</w:t>
            </w:r>
          </w:p>
        </w:tc>
        <w:tc>
          <w:tcPr>
            <w:tcW w:type="dxa" w:w="3135"/>
          </w:tcPr>
          <w:p>
            <w:r>
              <w:t>Over £125,140</w:t>
            </w:r>
          </w:p>
        </w:tc>
        <w:tc>
          <w:tcPr>
            <w:tcW w:type="dxa" w:w="3135"/>
          </w:tcPr>
          <w:p>
            <w:r>
              <w:t>45%</w:t>
            </w:r>
          </w:p>
        </w:tc>
      </w:tr>
    </w:tbl>
    <w:p/>
    <w:p>
      <w:pPr>
        <w:pStyle w:val="ListBullet"/>
        <w:ind w:left="360"/>
      </w:pPr>
      <w:r>
        <w:rPr>
          <w:b/>
        </w:rPr>
        <w:t xml:space="preserve">Calculation: </w:t>
      </w:r>
      <w:r>
        <w:t>Taxable income = Gross income − Personal allowance. Tax is only paid on the taxable portion.</w:t>
      </w:r>
    </w:p>
    <w:p>
      <w:pPr>
        <w:pStyle w:val="ListBullet"/>
        <w:ind w:left="360"/>
      </w:pPr>
      <w:r>
        <w:rPr>
          <w:b/>
        </w:rPr>
        <w:t xml:space="preserve">Worked example: </w:t>
      </w:r>
      <w:r>
        <w:t>Example: Salary £30,000. Taxable income = £30,000 − £12,570 = £17,430. Tax = £17,430 × 20% = £3,486.</w:t>
      </w:r>
    </w:p>
    <w:p>
      <w:pPr>
        <w:pStyle w:val="ListBullet"/>
        <w:ind w:left="360"/>
      </w:pPr>
      <w:r>
        <w:rPr>
          <w:b/>
        </w:rPr>
        <w:t xml:space="preserve">PAYE: </w:t>
      </w:r>
      <w:r>
        <w:t>Pay As You Earn — the system through which employers deduct income tax and NI from wages before paying the employee.</w:t>
      </w:r>
    </w:p>
    <w:p>
      <w:pPr>
        <w:pStyle w:val="ListBullet"/>
        <w:ind w:left="360"/>
      </w:pPr>
      <w:r>
        <w:rPr>
          <w:b/>
        </w:rPr>
        <w:t xml:space="preserve">Tax code: </w:t>
      </w:r>
      <w:r>
        <w:t>A numeric and letter code (e.g. 1257L) that tells the employer how much Personal Allowance to apply. 1257L = standard allowance for 2024/25.</w:t>
      </w:r>
    </w:p>
    <w:p>
      <w:pPr>
        <w:pStyle w:val="ListBullet"/>
        <w:ind w:left="360"/>
      </w:pPr>
      <w:r>
        <w:rPr>
          <w:b/>
        </w:rPr>
        <w:t xml:space="preserve">Self Assessment: </w:t>
      </w:r>
      <w:r>
        <w:t>For those with self-employment income, rental income, or complex tax affairs. Filed online by 31 January following the end of the tax year.</w:t>
      </w:r>
    </w:p>
    <w:p>
      <w:pPr>
        <w:pStyle w:val="ListBullet"/>
        <w:ind w:left="360"/>
      </w:pPr>
      <w:r>
        <w:rPr>
          <w:b/>
        </w:rPr>
        <w:t xml:space="preserve">Tax year: </w:t>
      </w:r>
      <w:r>
        <w:t>The UK tax year runs from 6 April to 5 April the following year (e.g. 2024/25: 6 April 2024 – 5 April 2025).</w:t>
      </w:r>
    </w:p>
    <w:p>
      <w:pPr>
        <w:pStyle w:val="Heading1"/>
      </w:pPr>
      <w:r>
        <w:t>3. National Insurance Contributions (2024/25)</w:t>
      </w:r>
    </w:p>
    <w:p>
      <w:r>
        <w:t>NI contributions build entitlement to the State Pension and other benefits (e.g. Jobseeker's Allowance). They part-fund the NHS.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Who pays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Rate (2024/25)</w:t>
            </w:r>
          </w:p>
        </w:tc>
      </w:tr>
      <w:tr>
        <w:tc>
          <w:tcPr>
            <w:tcW w:type="dxa" w:w="2351"/>
          </w:tcPr>
          <w:p>
            <w:r>
              <w:t>Class 1 (employee)</w:t>
            </w:r>
          </w:p>
        </w:tc>
        <w:tc>
          <w:tcPr>
            <w:tcW w:type="dxa" w:w="2351"/>
          </w:tcPr>
          <w:p>
            <w:r>
              <w:t>Employees</w:t>
            </w:r>
          </w:p>
        </w:tc>
        <w:tc>
          <w:tcPr>
            <w:tcW w:type="dxa" w:w="2351"/>
          </w:tcPr>
          <w:p>
            <w:r>
              <w:t>Earnings above Primary Threshold (£242/week)</w:t>
            </w:r>
          </w:p>
        </w:tc>
        <w:tc>
          <w:tcPr>
            <w:tcW w:type="dxa" w:w="2351"/>
          </w:tcPr>
          <w:p>
            <w:r>
              <w:t>8% up to UEL (£967/wk); 2% above</w:t>
            </w:r>
          </w:p>
        </w:tc>
      </w:tr>
      <w:tr>
        <w:tc>
          <w:tcPr>
            <w:tcW w:type="dxa" w:w="2351"/>
          </w:tcPr>
          <w:p>
            <w:r>
              <w:t>Class 1 (employer)</w:t>
            </w:r>
          </w:p>
        </w:tc>
        <w:tc>
          <w:tcPr>
            <w:tcW w:type="dxa" w:w="2351"/>
          </w:tcPr>
          <w:p>
            <w:r>
              <w:t>Employers</w:t>
            </w:r>
          </w:p>
        </w:tc>
        <w:tc>
          <w:tcPr>
            <w:tcW w:type="dxa" w:w="2351"/>
          </w:tcPr>
          <w:p>
            <w:r>
              <w:t>Earnings above Secondary Threshold (£175/wk)</w:t>
            </w:r>
          </w:p>
        </w:tc>
        <w:tc>
          <w:tcPr>
            <w:tcW w:type="dxa" w:w="2351"/>
          </w:tcPr>
          <w:p>
            <w:r>
              <w:t>13.8%</w:t>
            </w:r>
          </w:p>
        </w:tc>
      </w:tr>
      <w:tr>
        <w:tc>
          <w:tcPr>
            <w:tcW w:type="dxa" w:w="2351"/>
          </w:tcPr>
          <w:p>
            <w:r>
              <w:t>Class 2</w:t>
            </w:r>
          </w:p>
        </w:tc>
        <w:tc>
          <w:tcPr>
            <w:tcW w:type="dxa" w:w="2351"/>
          </w:tcPr>
          <w:p>
            <w:r>
              <w:t>Self-employed</w:t>
            </w:r>
          </w:p>
        </w:tc>
        <w:tc>
          <w:tcPr>
            <w:tcW w:type="dxa" w:w="2351"/>
          </w:tcPr>
          <w:p>
            <w:r>
              <w:t>Profits &gt; £6,725/yr (voluntary from April 2024)</w:t>
            </w:r>
          </w:p>
        </w:tc>
        <w:tc>
          <w:tcPr>
            <w:tcW w:type="dxa" w:w="2351"/>
          </w:tcPr>
          <w:p>
            <w:r>
              <w:t>£3.45/week</w:t>
            </w:r>
          </w:p>
        </w:tc>
      </w:tr>
      <w:tr>
        <w:tc>
          <w:tcPr>
            <w:tcW w:type="dxa" w:w="2351"/>
          </w:tcPr>
          <w:p>
            <w:r>
              <w:t>Class 3</w:t>
            </w:r>
          </w:p>
        </w:tc>
        <w:tc>
          <w:tcPr>
            <w:tcW w:type="dxa" w:w="2351"/>
          </w:tcPr>
          <w:p>
            <w:r>
              <w:t>Voluntary</w:t>
            </w:r>
          </w:p>
        </w:tc>
        <w:tc>
          <w:tcPr>
            <w:tcW w:type="dxa" w:w="2351"/>
          </w:tcPr>
          <w:p>
            <w:r>
              <w:t>To fill NI record gaps</w:t>
            </w:r>
          </w:p>
        </w:tc>
        <w:tc>
          <w:tcPr>
            <w:tcW w:type="dxa" w:w="2351"/>
          </w:tcPr>
          <w:p>
            <w:r>
              <w:t>£17.45/week</w:t>
            </w:r>
          </w:p>
        </w:tc>
      </w:tr>
      <w:tr>
        <w:tc>
          <w:tcPr>
            <w:tcW w:type="dxa" w:w="2351"/>
          </w:tcPr>
          <w:p>
            <w:r>
              <w:t>Class 4</w:t>
            </w:r>
          </w:p>
        </w:tc>
        <w:tc>
          <w:tcPr>
            <w:tcW w:type="dxa" w:w="2351"/>
          </w:tcPr>
          <w:p>
            <w:r>
              <w:t>Self-employed</w:t>
            </w:r>
          </w:p>
        </w:tc>
        <w:tc>
          <w:tcPr>
            <w:tcW w:type="dxa" w:w="2351"/>
          </w:tcPr>
          <w:p>
            <w:r>
              <w:t>Profits £12,570 – £50,270</w:t>
            </w:r>
          </w:p>
        </w:tc>
        <w:tc>
          <w:tcPr>
            <w:tcW w:type="dxa" w:w="2351"/>
          </w:tcPr>
          <w:p>
            <w:r>
              <w:t>6%; 2% above</w:t>
            </w:r>
          </w:p>
        </w:tc>
      </w:tr>
    </w:tbl>
    <w:p/>
    <w:p>
      <w:pPr>
        <w:shd w:val="clear" w:color="auto" w:fill="E8F4FD"/>
      </w:pPr>
      <w:r>
        <w:rPr>
          <w:i/>
          <w:sz w:val="20"/>
        </w:rPr>
        <w:t>📌  UEL = Upper Earnings Limit. Employee NI drops to 2% above the UEL. Self-employed Class 4 also drops to 2% above £50,270.</w:t>
      </w:r>
    </w:p>
    <w:p>
      <w:pPr>
        <w:pStyle w:val="Heading1"/>
      </w:pPr>
      <w:r>
        <w:t>4. Payslips and Pay Documents</w:t>
      </w:r>
    </w:p>
    <w:p>
      <w:pPr>
        <w:pStyle w:val="ListBullet"/>
        <w:ind w:left="360"/>
      </w:pPr>
      <w:r>
        <w:rPr>
          <w:b/>
        </w:rPr>
        <w:t xml:space="preserve">Gross vs net pay: </w:t>
      </w:r>
      <w:r>
        <w:t>Gross pay: total earnings before deductions. Net pay: take-home pay after all deductions.</w:t>
      </w:r>
    </w:p>
    <w:p>
      <w:pPr>
        <w:pStyle w:val="ListBullet"/>
        <w:ind w:left="360"/>
      </w:pPr>
      <w:r>
        <w:rPr>
          <w:b/>
        </w:rPr>
        <w:t xml:space="preserve">Payslip contents: </w:t>
      </w:r>
      <w:r>
        <w:t>Should show: employer name, employee name, pay period, NI number, tax code, gross pay, income tax deducted, NI deducted, pension deduction, any other deductions, net pay.</w:t>
      </w:r>
    </w:p>
    <w:p>
      <w:pPr>
        <w:pStyle w:val="ListBullet"/>
        <w:ind w:left="360"/>
      </w:pPr>
      <w:r>
        <w:rPr>
          <w:b/>
        </w:rPr>
        <w:t xml:space="preserve">P60: </w:t>
      </w:r>
      <w:r>
        <w:t>End-of-year tax summary issued by the employer by 31 May. Shows total earnings and tax/NI paid in the tax year.</w:t>
      </w:r>
    </w:p>
    <w:p>
      <w:pPr>
        <w:pStyle w:val="ListBullet"/>
        <w:ind w:left="360"/>
      </w:pPr>
      <w:r>
        <w:rPr>
          <w:b/>
        </w:rPr>
        <w:t xml:space="preserve">P45: </w:t>
      </w:r>
      <w:r>
        <w:t>Issued on leaving employment. Shows earnings and tax paid to date in that tax year. Must be given to the new employer to ensure correct tax deductions.</w:t>
      </w:r>
    </w:p>
    <w:p>
      <w:pPr>
        <w:pStyle w:val="ListBullet"/>
        <w:ind w:left="360"/>
      </w:pPr>
      <w:r>
        <w:rPr>
          <w:b/>
        </w:rPr>
        <w:t xml:space="preserve">P46/Starter checklist: </w:t>
      </w:r>
      <w:r>
        <w:t>Issued by the employer to a new starter with no P45. HMRC uses it to allocate a tax code.</w:t>
      </w:r>
    </w:p>
    <w:p>
      <w:pPr>
        <w:pStyle w:val="Heading1"/>
      </w:pPr>
      <w:r>
        <w:t>5. Key Terms Glossary</w:t>
      </w:r>
    </w:p>
    <w:p>
      <w:pPr>
        <w:pStyle w:val="ListBullet"/>
        <w:ind w:left="360"/>
      </w:pPr>
      <w:r>
        <w:rPr>
          <w:b/>
        </w:rPr>
        <w:t xml:space="preserve">Gross income: </w:t>
      </w:r>
      <w:r>
        <w:t>Total income before any deductions (tax, NI, pension).</w:t>
      </w:r>
    </w:p>
    <w:p>
      <w:pPr>
        <w:pStyle w:val="ListBullet"/>
        <w:ind w:left="360"/>
      </w:pPr>
      <w:r>
        <w:rPr>
          <w:b/>
        </w:rPr>
        <w:t xml:space="preserve">Net income: </w:t>
      </w:r>
      <w:r>
        <w:t>Take-home pay after all statutory and voluntary deductions.</w:t>
      </w:r>
    </w:p>
    <w:p>
      <w:pPr>
        <w:pStyle w:val="ListBullet"/>
        <w:ind w:left="360"/>
      </w:pPr>
      <w:r>
        <w:rPr>
          <w:b/>
        </w:rPr>
        <w:t xml:space="preserve">PAYE: </w:t>
      </w:r>
      <w:r>
        <w:t>Pay As You Earn — the system of deducting income tax and NI at source by the employer.</w:t>
      </w:r>
    </w:p>
    <w:p>
      <w:pPr>
        <w:pStyle w:val="ListBullet"/>
        <w:ind w:left="360"/>
      </w:pPr>
      <w:r>
        <w:rPr>
          <w:b/>
        </w:rPr>
        <w:t xml:space="preserve">NLW: </w:t>
      </w:r>
      <w:r>
        <w:t>National Living Wage — the statutory minimum for workers aged 21+.</w:t>
      </w:r>
    </w:p>
    <w:p>
      <w:pPr>
        <w:pStyle w:val="ListBullet"/>
        <w:ind w:left="360"/>
      </w:pPr>
      <w:r>
        <w:rPr>
          <w:b/>
        </w:rPr>
        <w:t xml:space="preserve">NMW: </w:t>
      </w:r>
      <w:r>
        <w:t>National Minimum Wage — statutory minimum for those under 21 and apprentices.</w:t>
      </w:r>
    </w:p>
    <w:p>
      <w:pPr>
        <w:pStyle w:val="ListBullet"/>
        <w:ind w:left="360"/>
      </w:pPr>
      <w:r>
        <w:rPr>
          <w:b/>
        </w:rPr>
        <w:t xml:space="preserve">Primary Threshold: </w:t>
      </w:r>
      <w:r>
        <w:t>The earnings level above which employees start paying NI (£242/week / £12,570/year, 2024/25).</w:t>
      </w:r>
    </w:p>
    <w:p>
      <w:pPr>
        <w:pStyle w:val="ListBullet"/>
        <w:ind w:left="360"/>
      </w:pPr>
      <w:r>
        <w:rPr>
          <w:b/>
        </w:rPr>
        <w:t xml:space="preserve">Personal allowance: </w:t>
      </w:r>
      <w:r>
        <w:t>Amount of income on which no income tax is payable (£12,570, 2024/25).</w:t>
      </w:r>
    </w:p>
    <w:p>
      <w:pPr>
        <w:pStyle w:val="ListBullet"/>
        <w:ind w:left="360"/>
      </w:pPr>
      <w:r>
        <w:rPr>
          <w:b/>
        </w:rPr>
        <w:t xml:space="preserve">State Pension: </w:t>
      </w:r>
      <w:r>
        <w:t>A weekly government payment to those who have reached State Pension age and have sufficient NI qualifying years (35 years for full new State Pension, 2024/25 rate £221.20/week).</w:t>
      </w:r>
    </w:p>
    <w:p>
      <w:pPr>
        <w:shd w:val="clear" w:color="auto" w:fill="E8F4FD"/>
      </w:pPr>
      <w:r>
        <w:rPr>
          <w:i/>
          <w:sz w:val="20"/>
        </w:rPr>
        <w:t>📌  This is a draft summary based on the LIBF CeFS specification. Update with college source material once provided.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