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Topic 5: Savings Products</w:t>
      </w:r>
    </w:p>
    <w:p>
      <w:pPr>
        <w:spacing w:after="400"/>
      </w:pPr>
      <w:r>
        <w:t xml:space="preserve">Unit 1 – Introduction to Financial Services</w:t>
      </w:r>
    </w:p>
    <w:p>
      <w:pPr>
        <w:pStyle w:val="Heading1"/>
        <w:spacing w:after="150" w:before="300"/>
      </w:pPr>
      <w:r>
        <w:t xml:space="preserve">1. Why People Save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Emergency fund: typically 3–6 months of expenses; provides a financial buffer against unexpected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Specific goals: holidays, car purchase, home deposit, school fees.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Longer-term wealth building: retirement, investments.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Factors affecting savings decisions: interest rate offered, accessibility required, tax treatment, FSCS protection, minimum/maximum deposit requirements.</w:t>
      </w:r>
    </w:p>
    <w:p>
      <w:pPr>
        <w:pStyle w:val="Heading1"/>
        <w:spacing w:after="150" w:before="300"/>
      </w:pPr>
      <w:r>
        <w:t xml:space="preserve">2. Instant Access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Funds can be withdrawn at any time without penalty.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Interest rates are typically lower than fixed-term products; rates are variable (can change at any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Suitable for: emergency funds and short-term savings.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Access Cash ISA: instant access version of the Cash ISA — interest is tax-free; counts towards the £20,000 annual ISA allowance.</w:t>
      </w:r>
    </w:p>
    <w:p>
      <w:pPr>
        <w:pStyle w:val="Heading1"/>
        <w:spacing w:after="150" w:before="300"/>
      </w:pPr>
      <w:r>
        <w:t xml:space="preserve">3. Notice Accounts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 a notice period before withdrawals (typically 30, 60, 90 or 120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interest rates than instant access accounts in return for reduced liquidity.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accounts allow instant withdrawal but charge a penalty (forfeit of interest for the notice period).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Suitable for: savers who do not need immediate access but want some flexibility.</w:t>
      </w:r>
    </w:p>
    <w:p>
      <w:pPr>
        <w:pStyle w:val="Heading1"/>
        <w:spacing w:after="150" w:before="300"/>
      </w:pPr>
      <w:r>
        <w:t xml:space="preserve">4. Fixed-Term Deposits (Fixed Rate Bonds)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Money is locked away for a set period (e.g. 1, 2, 3 or 5 years) at a fixed interest 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interest rates than instant access or notice accounts because access is restricted.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(or very limited) withdrawals permitted during the term; early exit usually means loss of interest or a penalty.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Suitable for: savers who can commit funds for the full term and want certainty of return.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Fixed-Rate Cash ISA: fixed-term version of the Cash ISA; interest is tax-free.</w:t>
      </w:r>
    </w:p>
    <w:p>
      <w:pPr>
        <w:pStyle w:val="Heading1"/>
        <w:spacing w:after="150" w:before="300"/>
      </w:pPr>
      <w:r>
        <w:t xml:space="preserve">5. Cash ISAs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ISA = Individual Savings Account. Introduced 1999. Interest earned is completely free of income tax.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 ISA allowance: £20,000 per tax year (2024/25); can be split across multiple ISA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 ISA available from age 16. No tax on interest regardless of the amount earned.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Transfers: savers can transfer ISA balances to another provider without losing the tax-free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 Savings Allowance (PSA): basic rate taxpayers can earn £1,000 of savings interest tax-free outside an ISA (higher rate: £500; additional rate: £0). ISA interest does not count towards this.</w:t>
      </w:r>
    </w:p>
    <w:p>
      <w:pPr>
        <w:pStyle w:val="Heading1"/>
        <w:spacing w:after="150" w:before="300"/>
      </w:pPr>
      <w:r>
        <w:t xml:space="preserve">6. AER (Annual Equivalent Rate)</w:t>
      </w:r>
    </w:p>
    <w:p>
      <w:pPr>
        <w:spacing w:after="100"/>
      </w:pPr>
      <w:r>
        <w:t xml:space="preserve">AER is the standard measure used to compare savings products. It shows what the interest rate would be if interest were paid and compounded once a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Formula: AER = (1 + r/n)^n − 1, where r = nominal annual rate and n = number of times interest is compounded per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Example: a monthly interest rate of 0.4% gives AER = (1 + 0.004)^12 − 1 ≈ 4.91%.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AER allows fair comparison between products paying interest at different frequencies (monthly, quarterly, annually).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Gross rate: interest before tax. Net rate: interest after basic rate tax deducted. AER always shown as gross.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 AER: a variable-rate account's AER reflects the current rate; it will change if the rate changes.</w:t>
      </w:r>
    </w:p>
    <w:p>
      <w:pPr>
        <w:pStyle w:val="Heading1"/>
        <w:spacing w:after="150" w:before="300"/>
      </w:pPr>
      <w:r>
        <w:t xml:space="preserve">7. Simple Interest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interest: Interest = Principal × Rate × Time. Example: £5,000 at 3% for 2 years = £5,000 × 0.03 × 2 = £300 interest.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 interest: interest is calculated on the original principal plus accumulated interest. Grows faster than simple interest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 interest formula: A = P(1 + r/n)^(nt), where A = final amount, P = principal, r = annual rate, n = compounding frequency, t = time in years.</w:t>
      </w:r>
    </w:p>
    <w:p>
      <w:pPr>
        <w:pStyle w:val="Heading1"/>
        <w:spacing w:after="150" w:before="300"/>
      </w:pPr>
      <w:r>
        <w:t xml:space="preserve">8. Comparing Savings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factors when comparing: AER (higher = better return); accessibility (instant access vs notice vs fixed); tax treatment (ISA vs non-ISA); minimum deposit; FSCS protection (£85,000 per authorised institution); term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NS&amp;I products: backed 100% by the government; Premium Bonds offer tax-free prizes instead of interest (prize rate equivalent currently ~4.4%); Direct Saver and Income Bonds offer variable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Bonds: max holding £50,000; minimum £25; prizes paid monthly from a prize pool; odds currently 1 in 21,000 per £1 bond.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Switching: savers should regularly review rates; many providers offer introductory bonus rates that revert after 12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2026-10-15T08:53:49.766Z</dcterms:created>
  <dcterms:modified xsi:type="dcterms:W3CDTF">2026-10-15T08:53:49.766Z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