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Topic 7: Providers of Financial Services</w:t>
      </w:r>
    </w:p>
    <w:p>
      <w:pPr>
        <w:spacing w:after="400"/>
      </w:pPr>
      <w:r>
        <w:t xml:space="preserve">Unit 1 – Introduction to Financial Services</w:t>
      </w:r>
    </w:p>
    <w:p>
      <w:pPr>
        <w:pStyle w:val="Heading1"/>
        <w:spacing w:after="150" w:before="300"/>
      </w:pPr>
      <w:r>
        <w:t xml:space="preserve">1. Banks</w:t>
      </w:r>
    </w:p>
    <w:p>
      <w:pPr>
        <w:spacing w:after="100"/>
      </w:pPr>
      <w:r>
        <w:t xml:space="preserve">Banks are public limited companies (PLCs) owned by shareholders who receive dividends from profits. They are profit-driven, globally operating institutions.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"Big Five" UK banks: Barclays, HSBC, Lloyds Banking Group, NatWest Group (RBS), and Santander UK.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Banks offer the widest range of products and services, including current accounts, savings, mortgages, loans, insurance, and investment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reach: large branch and ATM networks; extensive online, mobile and telephone banking.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2008 financial crisis: UK government bailed out major banks. HBOS/Lloyds received government support (40% stake in Lloyds Banking Group); RBS received 82% government ownership. Total bailout cost to taxpayers: approximately £37 billion.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Limitation: as profit-driven, interest rates on savings may be lower and charges higher than mutual providers.</w:t>
      </w:r>
    </w:p>
    <w:p>
      <w:pPr>
        <w:pStyle w:val="Heading1"/>
        <w:spacing w:after="150" w:before="300"/>
      </w:pPr>
      <w:r>
        <w:t xml:space="preserve">2. Building Societies</w:t>
      </w:r>
    </w:p>
    <w:p>
      <w:pPr>
        <w:spacing w:after="100"/>
      </w:pPr>
      <w:r>
        <w:t xml:space="preserve">Building societies are mutual organisations – they are owned by their members (savers and mortgage holders), not by external shareholders.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Democratic structure: one member, one vote, regardless of how much money is held.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shareholders: surplus is reinvested to offer better rates to members.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Legal requirement: at least 75% of assets must be held as mortgages; at least 50% of funding must come from members' deposits.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Specialist focus: primarily mortgages and savings; generally offer more competitive rates than banks.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Demutualisation: several societies converted to banks (PLCs) to access capital markets. Examples: Abbey National → Santander; Halifax → Lloyds; Woolwich → Barclays. Members received windfall shares at conversion.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Major remaining building societies: Nationwide, Yorkshire, Coventry, West Bromwich.</w:t>
      </w:r>
    </w:p>
    <w:p>
      <w:pPr>
        <w:pStyle w:val="Heading1"/>
        <w:spacing w:after="150" w:before="300"/>
      </w:pPr>
      <w:r>
        <w:t xml:space="preserve">3. Credit Unions</w:t>
      </w:r>
    </w:p>
    <w:p>
      <w:pPr>
        <w:spacing w:after="100"/>
      </w:pPr>
      <w:r>
        <w:t xml:space="preserve">Credit unions are member-owned, not-for-profit financial cooperatives that provide savings and loans to their members.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Common bond: all members must share a common bond – typically the same employer, profession, community or religion.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 association: ABCUL (Association of British Credit Unions Limited).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Loan rate cap: maximum APR on loans is 26.8% (equivalent to 2% per month) – much lower than payday lenders.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to savers: historically paid a dividend (share of profits); since January 2012 credit unions can also pay a guaranteed rate of interest on savings, making them more competitive.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NQMs (non-qualifying members): some credit unions allow a limited number of non-qualifying members to join.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Limitation: smaller product range; limited branch access; may not suit all financial needs.</w:t>
      </w:r>
    </w:p>
    <w:p>
      <w:pPr>
        <w:pStyle w:val="Heading1"/>
        <w:spacing w:after="150" w:before="300"/>
      </w:pPr>
      <w:r>
        <w:t xml:space="preserve">4. National Savings &amp; Investments (NS&amp;I)</w:t>
      </w:r>
    </w:p>
    <w:p>
      <w:pPr>
        <w:spacing w:after="100"/>
      </w:pPr>
      <w:r>
        <w:t xml:space="preserve">NS&amp;I is an executive agency of the Chancellor of the Exchequer (HM Treasury). It raises funds for the government by offering savings products to the public.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Government-backed: all savings are 100% guaranteed by HM Treasury – there is no limit on the amount protected (unlike the FSCS £85,000 limit).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Products include: Premium Bonds, Direct Saver, Income Bonds, Junior ISA, Green Savings Bonds.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Premium Bonds: </w:t>
      </w:r>
      <w:r>
        <w:t xml:space="preserve">instead of interest, savers enter a monthly prize draw. Prize range: £25–£50,000. Two £1 million jackpot prizes every month. Odds of winning any prize: approximately 34,500:1 per £1 bond. Minimum holding: £25; maximum: £50,000. All prizes are tax-free.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NS&amp;I products are distributed through the Post Office and online.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Limitation: rates can be uncompetitive at times; limited product range compared to banks.</w:t>
      </w:r>
    </w:p>
    <w:p>
      <w:pPr>
        <w:pStyle w:val="Heading1"/>
        <w:spacing w:after="150" w:before="300"/>
      </w:pPr>
      <w:r>
        <w:t xml:space="preserve">5. The Post Office</w:t>
      </w:r>
    </w:p>
    <w:p>
      <w:pPr>
        <w:spacing w:after="100"/>
      </w:pPr>
      <w:r>
        <w:t xml:space="preserve">The Post Office is not a bank but acts as a distribution channel for financial products offered by partner providers.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Network: 11,500+ branches across the UK, providing access in rural and urban communities.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Products: savings accounts, current accounts (via Bank of Ireland UK), travel insurance, car insurance, credit cards, mortgages, foreign currency.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Deposit protection: savings held with Post Office are covered by the FSCS via Bank of Ireland UK (the partner bank providing the products).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Advantage: accessible to customers in areas with few bank branches, especially beneficial for older or rural customers.</w:t>
      </w:r>
    </w:p>
    <w:p>
      <w:pPr>
        <w:pStyle w:val="Heading1"/>
        <w:spacing w:after="150" w:before="300"/>
      </w:pPr>
      <w:r>
        <w:t xml:space="preserve">6. Communication Channels</w:t>
      </w:r>
    </w:p>
    <w:p>
      <w:pPr>
        <w:spacing w:after="100"/>
      </w:pPr>
      <w:r>
        <w:t xml:space="preserve">Providers use five main channels to communicate with customers and deliver services: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Branch: </w:t>
      </w:r>
      <w:r>
        <w:t xml:space="preserve">face-to-face service; suitable for complex transactions; declining network but still important for vulnerable customers. Disadvantage: limited hours, queues.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Online banking: </w:t>
      </w:r>
      <w:r>
        <w:t xml:space="preserve">24/7 access; convenient; cheapest to provide. Disadvantage: cybersecurity risks; excludes digitally excluded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Telephone banking: </w:t>
      </w:r>
      <w:r>
        <w:t xml:space="preserve">available outside branch hours; accessible for those without internet. Disadvantage: wait times; cannot complete all transactions.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banking (app): </w:t>
      </w:r>
      <w:r>
        <w:t xml:space="preserve">fastest growing channel; allows instant payments, balance checks, card management. Disadvantage: requires smartphone and data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Post: </w:t>
      </w:r>
      <w:r>
        <w:t xml:space="preserve">used for statements, policy documents, formal correspondence. Disadvantage: slow; not suitable for urgent matters.</w:t>
      </w:r>
    </w:p>
    <w:p>
      <w:pPr>
        <w:pStyle w:val="Heading1"/>
        <w:spacing w:after="150" w:before="300"/>
      </w:pPr>
      <w:r>
        <w:t xml:space="preserve">7. Switching Providers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Account Switch Service (CASS): run by Bacs; guarantees a full switch within 7 working days. All direct debits, standing orders and incoming payments are automatically redirected.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Inertia: despite CASS, switching rates remain low. Customers often perceive switching as complicated or risky, even when a better deal is available elsewhere.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Interest rate margin: providers earn revenue from the difference between the APR charged on lending and the AER paid on savings.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Advantages of switching: access to better rates, cashback incentives, improved customer service.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2026-10-15T07:20:25.484Z</dcterms:created>
  <dcterms:modified xsi:type="dcterms:W3CDTF">2026-10-15T07:20:25.484Z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