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t xml:space="preserve">Topic 8: Consumer Protection</w:t>
      </w:r>
    </w:p>
    <w:p>
      <w:pPr>
        <w:spacing w:after="400"/>
      </w:pPr>
      <w:r>
        <w:t xml:space="preserve">Unit 1 – Introduction to Financial Services</w:t>
      </w:r>
    </w:p>
    <w:p>
      <w:pPr>
        <w:pStyle w:val="Heading1"/>
        <w:spacing w:after="150" w:before="300"/>
      </w:pPr>
      <w:r>
        <w:t xml:space="preserve">1. Background: The Credit Crunch</w:t>
      </w:r>
    </w:p>
    <w:p>
      <w:pPr>
        <w:spacing w:after="100"/>
      </w:pPr>
      <w:r>
        <w:t xml:space="preserve">Many consumer protection measures were introduced as a direct response to the global financial crisis of 2007–2009, known as the "credit crunch".</w:t>
      </w:r>
    </w:p>
    <w:p>
      <w:pPr>
        <w:pStyle w:val="Heading2"/>
        <w:spacing w:after="100" w:before="200"/>
      </w:pPr>
      <w:r>
        <w:t xml:space="preserve">Causes of the credit crunch: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Sub-prime lending: US banks lent mortgages to high-risk customers (NINJA loans – No Income, No Job or Assets) at low introductory rates; these were sold on as investment products worldwide.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Cross-contamination: retail banking profits were used to fund losses from risky investment banking (derivatives); depositors' money was put at risk.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"Too big to fail": the largest banks were so systemically important that their failure would damage the entire economy.</w:t>
      </w:r>
    </w:p>
    <w:p>
      <w:pPr>
        <w:pStyle w:val="Heading2"/>
        <w:spacing w:after="100" w:before="200"/>
      </w:pPr>
      <w:r>
        <w:t xml:space="preserve">Timeline key events: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2007: Northern Rock unable to borrow from other banks; first bank run in the UK for over a century. The government guaranteed all Northern Rock deposits to stop the run.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2008: Northern Rock nationalised (February). Lehman Brothers (USA) collapsed (September). Bradford &amp; Bingley mortgages nationalised (September). Government bailed out HBOS/Lloyds (40% stake) and RBS (82% stake) in October.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2009: RBS reported losses of £24.1 billion – the largest annual loss in British corporate history. Dunfermline Building Society taken over by Nationwide.</w:t>
      </w:r>
    </w:p>
    <w:p>
      <w:pPr>
        <w:pStyle w:val="Heading2"/>
        <w:spacing w:after="100" w:before="200"/>
      </w:pPr>
      <w:r>
        <w:t xml:space="preserve">Responses to the crisis: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Independent Commission on Banking (Vickers Commission, 2010–2011): recommended ring-fencing retail banking from investment banking, reducing risk, and improving regulation.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Financial Services Act 2012: established the new regulatory system (PRA and FCA), in force from 1 April 2013.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Banking Reform Act 2013: required ring-fencing of retail banking from investment banking; came into effect 1 January 2019.</w:t>
      </w:r>
    </w:p>
    <w:p>
      <w:pPr>
        <w:pStyle w:val="Heading1"/>
        <w:spacing w:after="150" w:before="300"/>
      </w:pPr>
      <w:r>
        <w:t xml:space="preserve">2. The Prudential Regulation Authority (PRA)</w:t>
      </w:r>
    </w:p>
    <w:p>
      <w:pPr>
        <w:spacing w:after="100"/>
      </w:pPr>
      <w:r>
        <w:t xml:space="preserve">The PRA has been part of the Bank of England since 1 April 2013. It is responsible for the prudential (financial safety and soundness) regulation of banks, building societies, credit unions, insurers and major investment firms.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Two objectives: (1) promoting the safety and soundness of providers; (2) securing appropriate protection for insurance policyholders.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Micro-prudential: focuses on the risk individual providers pose to the wider financial system.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Threshold conditions providers must meet: sufficient liquidity and capital; suitable management; being fit and proper; conducting business prudently.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Judgement-based, forward-looking: concentrates on the largest providers (assessed continuously) and smallest (assessed at least every four years).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Powers include: requiring banks to raise extra capital; changing lending criteria; taking action to reduce identified risks.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Works alongside the FCA and the Financial Policy Committee (FPC) of the Bank of England.</w:t>
      </w:r>
    </w:p>
    <w:p>
      <w:pPr>
        <w:pStyle w:val="Heading1"/>
        <w:spacing w:after="150" w:before="300"/>
      </w:pPr>
      <w:r>
        <w:t xml:space="preserve">3. The Financial Conduct Authority (FCA)</w:t>
      </w:r>
    </w:p>
    <w:p>
      <w:pPr>
        <w:spacing w:after="100"/>
      </w:pPr>
      <w:r>
        <w:t xml:space="preserve">The FCA is an independent body that reports to HM Treasury. It replaced the Financial Services Authority (FSA) from 1 April 2013.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Aim: "to make financial markets work well so that consumers get a fair deal."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Three operational objectives: (1) consumer protection; (2) market integrity; (3) promoting effective competition.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Scope: regulates banks, building societies, credit unions (from April 2013) and consumer credit lenders (from April 2014). Also regulates IFAs and investment managers.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Supervises providers at three intensity levels based on size; largest assessed continuously.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Enforcement powers: imposing fines; withdrawing or suspending a provider's authorisation to operate; ordering providers to compensate customers.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PPI scandal: FSA failed to identify widespread mis-selling of payment protection insurance. The FCA oversaw compensation; by 2021 over £38 billion had been paid out. Deadline for PPI complaints: 29 August 2019.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Payday loan cap: FCA capped payday loan interest at 0.8% per day; total cost cap of 100% (never repay more than twice the loan).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Publishes complaint data from all providers on its website, increasing accountability.</w:t>
      </w:r>
    </w:p>
    <w:p>
      <w:pPr>
        <w:pStyle w:val="Heading1"/>
        <w:spacing w:after="150" w:before="300"/>
      </w:pPr>
      <w:r>
        <w:t xml:space="preserve">4. The Financial Ombudsman Service (FOS)</w:t>
      </w:r>
    </w:p>
    <w:p>
      <w:pPr>
        <w:spacing w:after="100"/>
      </w:pPr>
      <w:r>
        <w:t xml:space="preserve">The FOS is an independent body set up by Parliament (Financial Services and Markets Act 2000) to resolve disputes between financial providers and their customers.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Free to consumers; funded by levies on providers and case fees (paid by the provider whether they win or lose).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Impartial: considers both sides; if the provider treated the customer fairly, it explains why; if not, it orders redress.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Complaint process: (1) contact provider directly – provider must respond within 8 weeks; (2) if unsatisfied, refer to FOS within 6 months of the provider's final response; (3) if still unhappy with FOS decision (in provider's favour), customer can take the provider to court.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FOS decisions are binding on the provider but not the customer – if ordered to pay, the provider must; the customer can still go to court if they feel the FOS settlement is insufficient.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Claims management companies: third-party firms that make complaints on behalf of customers, charging upfront fees or a percentage of compensation. Customers can use Citizens Advice free of charge instead.</w:t>
      </w:r>
    </w:p>
    <w:p>
      <w:pPr>
        <w:pStyle w:val="Heading1"/>
        <w:spacing w:after="150" w:before="300"/>
      </w:pPr>
      <w:r>
        <w:t xml:space="preserve">5. The Financial Services Compensation Scheme (FSCS)</w:t>
      </w:r>
    </w:p>
    <w:p>
      <w:pPr>
        <w:spacing w:after="100"/>
      </w:pPr>
      <w:r>
        <w:t xml:space="preserve">The FSCS compensates customers when an FCA-authorised provider fails (becomes insolvent). It does not deal with complaints – that is the FOS's role.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Established: Financial Services and Markets Act 2000; started operations 1 December 2001.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Compensation limit: £85,000 per person per authorised provider for deposits, investments and mortgages.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Important: banking brands under the same authorisation share one £85,000 limit. Example: Bank of Scotland plc covers Halifax, Bank of Scotland, Intelligent Finance and others – a customer with accounts at two of these brands only has £85,000 total protection.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Joint accounts: savings are split equally, so each holder is covered up to £85,000 (e.g. a joint account of £170,000 is fully covered).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Speed: the FSCS automatically refunds deposits up to £85,000 within 7 days of a provider failing.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98% of UK population have savings below £85,000, so the vast majority would be fully covered.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Funded by levies on regulated providers (larger providers pay more).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Also covers: insurance policies, investments and mortgage products if the provider fails.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Foreign banks: UK subsidiaries with FCA authorisation are covered; branches of foreign banks not FCA-authorised are covered by their home country scheme.</w:t>
      </w:r>
    </w:p>
    <w:p>
      <w:pPr>
        <w:pStyle w:val="Heading1"/>
        <w:spacing w:after="150" w:before="300"/>
      </w:pPr>
      <w:r>
        <w:t xml:space="preserve">6. The Competition and Markets Authority (CMA)</w:t>
      </w:r>
    </w:p>
    <w:p>
      <w:pPr>
        <w:spacing w:after="100"/>
      </w:pPr>
      <w:r>
        <w:t xml:space="preserve">The CMA is an independent government department that promotes competition for the benefit of consumers across all markets. It acquired its powers on 1 April 2014, taking over from the Competition Commission and the Office of Fair Trading (OFT).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Responsibilities: investigating anti-competitive mergers; market studies; prosecuting cartels (price-fixing); enforcing consumer protection legislation; open banking.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Banking market findings: in 2013 the OFT found that Lloyds, RBS, Barclays and HSBC held 75% of the current account market; switching was low (3% per year); overdraft charges were complex.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Banking reforms (2017): banks required to share data (with customer consent) via secure APIs, enabling comparison sites and new FinTech providers to offer personalised financial services.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Banks must publish service quality data so customers can compare providers.</w:t>
      </w:r>
    </w:p>
    <w:p>
      <w:pPr>
        <w:pStyle w:val="Heading1"/>
        <w:spacing w:after="150" w:before="300"/>
      </w:pPr>
      <w:r>
        <w:t xml:space="preserve">7. Voluntary Codes of Conduct</w:t>
      </w:r>
    </w:p>
    <w:p>
      <w:pPr>
        <w:spacing w:after="100"/>
      </w:pPr>
      <w:r>
        <w:t xml:space="preserve">In addition to statutory regulation, providers adopt voluntary codes of conduct to self-regulate and maintain customer trust.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Standards of Lending Practice: created by the British Bankers' Association (BBA), Building Societies Association (BSA) and UK Cards Association. They set minimum standards of good practice for loans, credit cards, charge cards and overdrafts.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Key principles of the Standards: fair, clear and non-misleading advertising; full product information at point of sale; notification of changes to interest rates/charges; responsible lending; sympathetic handling of financial difficulties; data protection and security; staff training.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MoneyHelper: a government-funded consumer information service helping people make informed financial decisions (not a regulator).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Limitation of voluntary codes: compliance is self-imposed; there are no statutory penalties for non-compliance (unlike FCA rules).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2026-10-15T07:20:25.664Z</dcterms:created>
  <dcterms:modified xsi:type="dcterms:W3CDTF">2026-10-15T07:20:25.664Z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