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164r3dslqew2" w:id="0"/>
      <w:bookmarkEnd w:id="0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The Digital Accelerator: How E-commerce is rewriting India’s $1.6 Trillion Retail Destiny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trajectory of India’s economy over the next five years is undeniable: massive expansion fueled by a rising middle class and rapid urbanization. By Fiscal 2030, India’s overall retail market is projected to surge from its current ~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US$978</w:t>
        </w:r>
      </w:hyperlink>
      <w:r w:rsidDel="00000000" w:rsidR="00000000" w:rsidRPr="00000000">
        <w:rPr>
          <w:color w:val="1f1f1f"/>
          <w:rtl w:val="0"/>
        </w:rPr>
        <w:t xml:space="preserve"> billion to a staggering **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US$1.4–1.6 trillion</w:t>
        </w:r>
      </w:hyperlink>
      <w:r w:rsidDel="00000000" w:rsidR="00000000" w:rsidRPr="00000000">
        <w:rPr>
          <w:color w:val="1f1f1f"/>
          <w:rtl w:val="0"/>
        </w:rPr>
        <w:t xml:space="preserve">**, growing at a healthy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8–10%</w:t>
        </w:r>
      </w:hyperlink>
      <w:r w:rsidDel="00000000" w:rsidR="00000000" w:rsidRPr="00000000">
        <w:rPr>
          <w:color w:val="1f1f1f"/>
          <w:rtl w:val="0"/>
        </w:rPr>
        <w:t xml:space="preserve"> CAGR.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However, beneath this headline growth lies a more dynamic story. The true engine of this expansion is not brick-and-mortar, but digital. While traditional retail marches forward, the e-commerce sector is sprinting, projected to grow at more than double the pace of the general market.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narrative of the next five years is defined by a decisive shift: e-commerce is moving from a metro-centric, electronics-heavy convenience play into a nationwide, mass-market powerhouse driven by value.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hr3hthxv85c4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The E-commerce Sprint: Moving Beyond Metros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outlook for India's e-commerce sector is exceptionally bullish. Over the next five years, the sector is projected to significantly outpace general retail, growing at a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 </w:t>
        </w:r>
      </w:hyperlink>
      <w:hyperlink r:id="rId1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20–25%</w:t>
        </w:r>
      </w:hyperlink>
      <w:r w:rsidDel="00000000" w:rsidR="00000000" w:rsidRPr="00000000">
        <w:rPr>
          <w:b w:val="1"/>
          <w:bCs w:val="1"/>
          <w:color w:val="1f1f1f"/>
          <w:rtl w:val="0"/>
        </w:rPr>
        <w:t xml:space="preserve"> CAGR</w:t>
      </w:r>
      <w:r w:rsidDel="00000000" w:rsidR="00000000" w:rsidRPr="00000000">
        <w:rPr>
          <w:color w:val="1f1f1f"/>
          <w:rtl w:val="0"/>
        </w:rPr>
        <w:t xml:space="preserve">. By FY2030, the market value of e-commerce is expected to reach </w:t>
      </w:r>
      <w:hyperlink r:id="rId1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US$174–214</w:t>
        </w:r>
      </w:hyperlink>
      <w:r w:rsidDel="00000000" w:rsidR="00000000" w:rsidRPr="00000000">
        <w:rPr>
          <w:b w:val="1"/>
          <w:bCs w:val="1"/>
          <w:color w:val="1f1f1f"/>
          <w:rtl w:val="0"/>
        </w:rPr>
        <w:t xml:space="preserve"> billion</w:t>
      </w:r>
      <w:r w:rsidDel="00000000" w:rsidR="00000000" w:rsidRPr="00000000">
        <w:rPr>
          <w:color w:val="1f1f1f"/>
          <w:rtl w:val="0"/>
        </w:rPr>
        <w:t xml:space="preserve">, accounting for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12–13%</w:t>
        </w:r>
      </w:hyperlink>
      <w:r w:rsidDel="00000000" w:rsidR="00000000" w:rsidRPr="00000000">
        <w:rPr>
          <w:color w:val="1f1f1f"/>
          <w:rtl w:val="0"/>
        </w:rPr>
        <w:t xml:space="preserve"> of total retail spending.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most critical aspect of this growth is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where</w:t>
      </w:r>
      <w:r w:rsidDel="00000000" w:rsidR="00000000" w:rsidRPr="00000000">
        <w:rPr>
          <w:color w:val="1f1f1f"/>
          <w:rtl w:val="0"/>
        </w:rPr>
        <w:t xml:space="preserve"> it is happening. The first wave of Indian e-commerce was defined by metropolitan cities. The next wave belongs to "Bharat." By Fiscal 2030,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Tier 2+ cities are projected to account for nearly </w:t>
      </w:r>
      <w:hyperlink r:id="rId13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51–52%</w:t>
        </w:r>
      </w:hyperlink>
      <w:r w:rsidDel="00000000" w:rsidR="00000000" w:rsidRPr="00000000">
        <w:rPr>
          <w:b w:val="1"/>
          <w:bCs w:val="1"/>
          <w:color w:val="1f1f1f"/>
          <w:rtl w:val="0"/>
        </w:rPr>
        <w:t xml:space="preserve"> of the entire e-commerce market</w:t>
      </w:r>
      <w:r w:rsidDel="00000000" w:rsidR="00000000" w:rsidRPr="00000000">
        <w:rPr>
          <w:color w:val="1f1f1f"/>
          <w:rtl w:val="0"/>
        </w:rPr>
        <w:t xml:space="preserve">, marking a structural shift in demand centers across the country.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9bmq2svjnhnb" w:id="2"/>
      <w:bookmarkEnd w:id="2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Projected Market Growth Rates (CAGR Next 5 Years)</w:t>
      </w:r>
    </w:p>
    <w:tbl>
      <w:tblPr>
        <w:tblStyle w:val="Table1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0"/>
        <w:gridCol w:w="1920"/>
        <w:gridCol w:w="4665"/>
        <w:tblGridChange w:id="0">
          <w:tblGrid>
            <w:gridCol w:w="2250"/>
            <w:gridCol w:w="1920"/>
            <w:gridCol w:w="466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Projected CAGR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Key Drivers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Overall Retail Market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color w:val="1f1f1f"/>
              </w:rPr>
            </w:pPr>
            <w:hyperlink r:id="rId14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8–10%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Economic expansion, rise of 212M middle-income households.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E-commerce Sector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color w:val="1f1f1f"/>
              </w:rPr>
            </w:pPr>
            <w:hyperlink r:id="rId15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20–25%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Tier 2+ penetration, shift to non-electronic categories.</w:t>
            </w:r>
          </w:p>
        </w:tc>
      </w:tr>
    </w:tbl>
    <w:p w:rsidR="00000000" w:rsidDel="00000000" w:rsidP="00000000" w:rsidRDefault="00000000" w:rsidRPr="00000000" w14:paraId="0000001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xbl7h8apvbpz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 Tale of Two Markets: Value vs. Convenience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As e-commerce penetrates deeper into India, it has become clear that the market is not monolithic. Platforms can no longer use a "one-size-fits-all" approach. The market has bifurcated into two distinct consumer archetypes with vastly different motivations.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Convenience-Focused</w:t>
      </w:r>
      <w:r w:rsidDel="00000000" w:rsidR="00000000" w:rsidRPr="00000000">
        <w:rPr>
          <w:color w:val="1f1f1f"/>
          <w:rtl w:val="0"/>
        </w:rPr>
        <w:t xml:space="preserve"> market represents the initial e-commerce user: urban, affluent, and time sensitive. They prioritize speed (often 10-minute to 2-day delivery) and shop with specific intent for branded goods and electronics.</w:t>
        <w:tab/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explosive growth, however, is coming from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Value-Focused</w:t>
      </w:r>
      <w:r w:rsidDel="00000000" w:rsidR="00000000" w:rsidRPr="00000000">
        <w:rPr>
          <w:color w:val="1f1f1f"/>
          <w:rtl w:val="0"/>
        </w:rPr>
        <w:t xml:space="preserve"> market. These are mass-market consumers in Tier 2+ cities. Their primary drivers are affordability and assortment spread. Their shopping journey is "discovery-led"—browsing for unbranded or regional products much like walking through a physical bazaar—and they are willing to wait 4–7 days for delivery if the price is right.</w:t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l0dobqlphcel" w:id="4"/>
      <w:bookmarkEnd w:id="4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Snapshot: The Indian E-commerce Consumer Divide</w:t>
      </w:r>
    </w:p>
    <w:tbl>
      <w:tblPr>
        <w:tblStyle w:val="Table2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0"/>
        <w:gridCol w:w="3585"/>
        <w:gridCol w:w="3480"/>
        <w:tblGridChange w:id="0">
          <w:tblGrid>
            <w:gridCol w:w="1770"/>
            <w:gridCol w:w="3585"/>
            <w:gridCol w:w="348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Value-Focused Market (The Growth Engine)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Convenience-Focused Market (The Mature Base)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Target Audience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Mass-market, Tier 2+ cities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Urban, affluent, metros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Primary 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Affordability</w:t>
            </w:r>
            <w:r w:rsidDel="00000000" w:rsidR="00000000" w:rsidRPr="00000000">
              <w:rPr>
                <w:color w:val="1f1f1f"/>
                <w:rtl w:val="0"/>
              </w:rPr>
              <w:t xml:space="preserve"> &amp; Assortment over brand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Speed</w:t>
            </w:r>
            <w:r w:rsidDel="00000000" w:rsidR="00000000" w:rsidRPr="00000000">
              <w:rPr>
                <w:color w:val="1f1f1f"/>
                <w:rtl w:val="0"/>
              </w:rPr>
              <w:t xml:space="preserve">, Reliability, and Service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Buying Journey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Discovery-led (browsing, impulse)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Search-led (specific intent)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Product 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Unbranded/regional products, low ticket size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Branded essentials, high-velocity SKUs</w:t>
            </w:r>
          </w:p>
        </w:tc>
      </w:tr>
    </w:tbl>
    <w:p w:rsidR="00000000" w:rsidDel="00000000" w:rsidP="00000000" w:rsidRDefault="00000000" w:rsidRPr="00000000" w14:paraId="0000002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t30xhyxxicx6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The Category Shift: The Rise of Non-Electronics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demographic shift is forcing a change in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what</w:t>
      </w:r>
      <w:r w:rsidDel="00000000" w:rsidR="00000000" w:rsidRPr="00000000">
        <w:rPr>
          <w:color w:val="1f1f1f"/>
          <w:rtl w:val="0"/>
        </w:rPr>
        <w:t xml:space="preserve"> India buys online. For years, electronics was the backbone of Indian e-commerce. Today, electronics is a mature category with ~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37%</w:t>
        </w:r>
      </w:hyperlink>
      <w:r w:rsidDel="00000000" w:rsidR="00000000" w:rsidRPr="00000000">
        <w:rPr>
          <w:color w:val="1f1f1f"/>
          <w:rtl w:val="0"/>
        </w:rPr>
        <w:t xml:space="preserve"> online penetration.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future "high growth runway" lies in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non-electronic categories</w:t>
      </w:r>
      <w:r w:rsidDel="00000000" w:rsidR="00000000" w:rsidRPr="00000000">
        <w:rPr>
          <w:color w:val="1f1f1f"/>
          <w:rtl w:val="0"/>
        </w:rPr>
        <w:t xml:space="preserve">—Fashion, Grocery, and Home. These categories currently have low penetration (e.g., Grocery at ~2%) but are growing rapidly. By FY2030, non-electronics are projected to contribute </w:t>
      </w:r>
      <w:hyperlink r:id="rId1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72–73%</w:t>
        </w:r>
      </w:hyperlink>
      <w:r w:rsidDel="00000000" w:rsidR="00000000" w:rsidRPr="00000000">
        <w:rPr>
          <w:b w:val="1"/>
          <w:bCs w:val="1"/>
          <w:color w:val="1f1f1f"/>
          <w:rtl w:val="0"/>
        </w:rPr>
        <w:t xml:space="preserve"> of the total e-commerce market</w:t>
      </w:r>
      <w:r w:rsidDel="00000000" w:rsidR="00000000" w:rsidRPr="00000000">
        <w:rPr>
          <w:color w:val="1f1f1f"/>
          <w:rtl w:val="0"/>
        </w:rPr>
        <w:t xml:space="preserve">, up significantly from today.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zftwuub1d5w1" w:id="6"/>
      <w:bookmarkEnd w:id="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Reinventing the Business Model: Asset-Light and Zero Commission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Serving the Value-Focused market presents a unique challenge: How do platforms remain profitable when the Average Order Value (AOV) is low and consumers demand rock-bottom prices? The traditional inventory-led model, where a company buys and stores goods, is too capital-intensive for this segment.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solution has been the rise of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Platform-based (Asset-Light) Model</w:t>
      </w:r>
      <w:r w:rsidDel="00000000" w:rsidR="00000000" w:rsidRPr="00000000">
        <w:rPr>
          <w:color w:val="1f1f1f"/>
          <w:rtl w:val="0"/>
        </w:rPr>
        <w:t xml:space="preserve">. In this system, the e-commerce company acts as a tech orchestrator, owning zero inventory and using a distributed network of third-party logistics partners. This allows for capital-efficient scaling without building heavy physical infrastructure.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attract the millions of small, unbranded sellers needed for this model, many platforms have adopted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"Zero Commission"</w:t>
      </w:r>
      <w:r w:rsidDel="00000000" w:rsidR="00000000" w:rsidRPr="00000000">
        <w:rPr>
          <w:color w:val="1f1f1f"/>
          <w:rtl w:val="0"/>
        </w:rPr>
        <w:t xml:space="preserve"> structure. But if they charge no commission on the sale, how do they survive?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model has shifted from "transaction-led" revenue to a multi-layered strategy that monetizes the ecosystem around the trade: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Advertising Revenue (The new "Commission"):</w:t>
      </w:r>
      <w:r w:rsidDel="00000000" w:rsidR="00000000" w:rsidRPr="00000000">
        <w:rPr>
          <w:color w:val="1f1f1f"/>
          <w:rtl w:val="0"/>
        </w:rPr>
        <w:t xml:space="preserve"> In a sea of unbranded goods, sellers must pay for visibility. Platforms generate high-margin revenue by charging sellers for native ads and search boosts.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Logistics &amp; VAS:</w:t>
      </w:r>
      <w:r w:rsidDel="00000000" w:rsidR="00000000" w:rsidRPr="00000000">
        <w:rPr>
          <w:color w:val="1f1f1f"/>
          <w:rtl w:val="0"/>
        </w:rPr>
        <w:t xml:space="preserve"> Platforms charge for fulfillment services, cataloging tools, and analytics.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Financial Services:</w:t>
      </w:r>
      <w:r w:rsidDel="00000000" w:rsidR="00000000" w:rsidRPr="00000000">
        <w:rPr>
          <w:color w:val="1f1f1f"/>
          <w:rtl w:val="0"/>
        </w:rPr>
        <w:t xml:space="preserve"> Revenue is generated through embedded finance products, such as credit for sellers or Buy Now Pay Later (BNPL) options for consumers.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ofbcce6cksos" w:id="7"/>
      <w:bookmarkEnd w:id="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The Reality Check: Risks and Regulatory Loopholes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While the growth numbers are intoxicating, the foundation of this new e-commerce landscape is complex. Operating in the value segment means managing razor-thin profit margins that are highly sensitive to economic downturns and intensifying competition.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Furthermore, this aggressive growth often relies on navigating regulatory gray areas: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FDI Inventory Loophole:</w:t>
      </w:r>
      <w:r w:rsidDel="00000000" w:rsidR="00000000" w:rsidRPr="00000000">
        <w:rPr>
          <w:color w:val="1f1f1f"/>
          <w:rtl w:val="0"/>
        </w:rPr>
        <w:t xml:space="preserve"> To bypass strict FDI laws prohibiting inventory ownership, some foreign-funded platforms create complex structures with "proxy" sellers, allowing them to effectively control inventory and pricing while legally claiming to be mere marketplaces.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"Zero Commission" Mirage:</w:t>
      </w:r>
      <w:r w:rsidDel="00000000" w:rsidR="00000000" w:rsidRPr="00000000">
        <w:rPr>
          <w:color w:val="1f1f1f"/>
          <w:rtl w:val="0"/>
        </w:rPr>
        <w:t xml:space="preserve"> While technically charging zero commission, platforms often tweak algorithms so that organic visibility is minimal. Sellers are forced to spend heavily on advertising to generate sales, effectively paying a "commission" disguised as ad spend.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outlook for Indian e-commerce is massive, but it is being built on a new, complex architecture requiring a delicate balance between aggressive expansion, operational efficiency, and regulatory compliance.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Disclaimer: </w:t>
      </w:r>
      <w:r w:rsidDel="00000000" w:rsidR="00000000" w:rsidRPr="00000000">
        <w:rPr>
          <w:i w:val="1"/>
          <w:iCs w:val="1"/>
          <w:color w:val="0a0a0a"/>
          <w:highlight w:val="white"/>
          <w:rtl w:val="0"/>
        </w:rPr>
        <w:t xml:space="preserve">The content should not be construed as investment, trading, or personal financial advice.</w:t>
      </w:r>
      <w:r w:rsidDel="00000000" w:rsidR="00000000" w:rsidRPr="00000000">
        <w:rPr>
          <w:i w:val="1"/>
          <w:iCs w:val="1"/>
          <w:rtl w:val="0"/>
        </w:rPr>
        <w:t xml:space="preserve">This blog is for educational purposes only.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investor.meesho.com/investor-web/_next/docs/ipo/industry-report-e-com.pdf" TargetMode="External"/><Relationship Id="rId10" Type="http://schemas.openxmlformats.org/officeDocument/2006/relationships/hyperlink" Target="https://investor.meesho.com/investor-web/_next/docs/ipo/industry-report-e-com.pdf" TargetMode="External"/><Relationship Id="rId13" Type="http://schemas.openxmlformats.org/officeDocument/2006/relationships/hyperlink" Target="https://investor.meesho.com/investor-web/_next/docs/ipo/industry-report-e-com.pdf" TargetMode="External"/><Relationship Id="rId12" Type="http://schemas.openxmlformats.org/officeDocument/2006/relationships/hyperlink" Target="https://investor.meesho.com/investor-web/_next/docs/ipo/industry-report-e-com.pdf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investor.meesho.com/investor-web/_next/docs/ipo/industry-report-e-com.pdf" TargetMode="External"/><Relationship Id="rId15" Type="http://schemas.openxmlformats.org/officeDocument/2006/relationships/hyperlink" Target="https://investor.meesho.com/investor-web/_next/docs/ipo/industry-report-e-com.pdf" TargetMode="External"/><Relationship Id="rId14" Type="http://schemas.openxmlformats.org/officeDocument/2006/relationships/hyperlink" Target="https://investor.meesho.com/investor-web/_next/docs/ipo/industry-report-e-com.pdf" TargetMode="External"/><Relationship Id="rId17" Type="http://schemas.openxmlformats.org/officeDocument/2006/relationships/hyperlink" Target="https://investor.meesho.com/investor-web/_next/docs/ipo/industry-report-e-com.pdf" TargetMode="External"/><Relationship Id="rId16" Type="http://schemas.openxmlformats.org/officeDocument/2006/relationships/hyperlink" Target="https://investor.meesho.com/investor-web/_next/docs/ipo/industry-report-e-com.pdf" TargetMode="External"/><Relationship Id="rId5" Type="http://schemas.openxmlformats.org/officeDocument/2006/relationships/styles" Target="styles.xml"/><Relationship Id="rId6" Type="http://schemas.openxmlformats.org/officeDocument/2006/relationships/hyperlink" Target="https://investor.meesho.com/investor-web/_next/docs/ipo/industry-report-e-com.pdf" TargetMode="External"/><Relationship Id="rId7" Type="http://schemas.openxmlformats.org/officeDocument/2006/relationships/hyperlink" Target="https://investor.meesho.com/investor-web/_next/docs/ipo/industry-report-e-com.pdf" TargetMode="External"/><Relationship Id="rId8" Type="http://schemas.openxmlformats.org/officeDocument/2006/relationships/hyperlink" Target="https://investor.meesho.com/investor-web/_next/docs/ipo/industry-report-e-com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