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4415F"/>
          <w:sz w:val="58"/>
        </w:rPr>
        <w:t>UNIFIED ADS</w:t>
        <w:br/>
        <w:t>MANAGEMENT PLATFORM</w:t>
      </w:r>
    </w:p>
    <w:p>
      <w:pPr>
        <w:jc w:val="center"/>
      </w:pPr>
      <w:r>
        <w:rPr>
          <w:rFonts w:ascii="Aptos Display" w:hAnsi="Aptos Display"/>
          <w:color w:val="197896"/>
          <w:sz w:val="36"/>
        </w:rPr>
        <w:t>Screen-by-Screen Product Blueprint</w:t>
      </w:r>
    </w:p>
    <w:p>
      <w:pPr>
        <w:spacing w:before="400"/>
        <w:jc w:val="center"/>
      </w:pPr>
      <w:r>
        <w:rPr>
          <w:color w:val="505F6E"/>
          <w:sz w:val="22"/>
        </w:rPr>
        <w:t>Google Ads + Meta Ads | Shared UI, provider-specific workflows, and MVP sequence</w:t>
      </w:r>
    </w:p>
    <w:p>
      <w:pPr>
        <w:spacing w:before="2400"/>
        <w:jc w:val="center"/>
      </w:pPr>
      <w:r>
        <w:rPr>
          <w:b/>
          <w:color w:val="195F82"/>
          <w:sz w:val="20"/>
        </w:rPr>
        <w:t>Planning only — no source code changed</w:t>
      </w:r>
    </w:p>
    <w:p>
      <w:pPr>
        <w:jc w:val="center"/>
      </w:pPr>
      <w:r>
        <w:rPr>
          <w:sz w:val="18"/>
        </w:rPr>
        <w:t>Prepared 28 October 2026</w:t>
      </w:r>
    </w:p>
    <w:p>
      <w:r>
        <w:br w:type="page"/>
      </w:r>
    </w:p>
    <w:p>
      <w:pPr>
        <w:pStyle w:val="Heading1"/>
      </w:pPr>
      <w:r>
        <w:t>1. Product direction and design rule</w:t>
      </w:r>
    </w:p>
    <w:p>
      <w:r>
        <w:t>Build one product experience for customers managing multiple advertising networks. The app should unify navigation, tables, filters, reporting definitions, permissions, action safety and audit history. It should not pretend Google Ads and Meta Ads have identical resource models or identical capabilities.</w:t>
      </w:r>
    </w:p>
    <w:p>
      <w:r>
        <w:t>Core design rule: a user should not need to learn two separate applications for everyday tasks, but advanced setup should expose provider-specific fields when the networks differ.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rPr>
        <w:tc>
          <w:tcPr>
            <w:tcW w:type="dxa" w:w="2376"/>
            <w:vAlign w:val="center"/>
            <w:shd w:fill="154360"/>
          </w:tcPr>
          <w:p>
            <w:pPr>
              <w:spacing w:after="20" w:before="20"/>
            </w:pPr>
            <w:r/>
            <w:r>
              <w:rPr>
                <w:rFonts w:ascii="Aptos" w:hAnsi="Aptos"/>
                <w:b/>
                <w:color w:val="FFFFFF"/>
                <w:sz w:val="16"/>
              </w:rPr>
              <w:t>Pattern</w:t>
            </w:r>
          </w:p>
        </w:tc>
        <w:tc>
          <w:tcPr>
            <w:tcW w:type="dxa" w:w="3960"/>
            <w:vAlign w:val="center"/>
            <w:shd w:fill="154360"/>
          </w:tcPr>
          <w:p>
            <w:pPr>
              <w:spacing w:after="20" w:before="20"/>
            </w:pPr>
            <w:r/>
            <w:r>
              <w:rPr>
                <w:rFonts w:ascii="Aptos" w:hAnsi="Aptos"/>
                <w:b/>
                <w:color w:val="FFFFFF"/>
                <w:sz w:val="16"/>
              </w:rPr>
              <w:t>Use it for</w:t>
            </w:r>
          </w:p>
        </w:tc>
        <w:tc>
          <w:tcPr>
            <w:tcW w:type="dxa" w:w="3312"/>
            <w:vAlign w:val="center"/>
            <w:shd w:fill="154360"/>
          </w:tcPr>
          <w:p>
            <w:pPr>
              <w:spacing w:after="20" w:before="20"/>
            </w:pPr>
            <w:r/>
            <w:r>
              <w:rPr>
                <w:rFonts w:ascii="Aptos" w:hAnsi="Aptos"/>
                <w:b/>
                <w:color w:val="FFFFFF"/>
                <w:sz w:val="16"/>
              </w:rPr>
              <w:t>Example</w:t>
            </w:r>
          </w:p>
        </w:tc>
      </w:tr>
      <w:tr>
        <w:trPr>
          <w:cantSplit/>
        </w:trPr>
        <w:tc>
          <w:tcPr>
            <w:tcW w:type="dxa" w:w="2376"/>
            <w:vAlign w:val="center"/>
          </w:tcPr>
          <w:p>
            <w:pPr>
              <w:spacing w:after="20" w:before="20"/>
            </w:pPr>
            <w:r/>
            <w:r>
              <w:rPr>
                <w:rFonts w:ascii="Aptos" w:hAnsi="Aptos"/>
                <w:b w:val="0"/>
                <w:sz w:val="16"/>
              </w:rPr>
              <w:t>Shared screen + shared domain model</w:t>
            </w:r>
          </w:p>
        </w:tc>
        <w:tc>
          <w:tcPr>
            <w:tcW w:type="dxa" w:w="3960"/>
            <w:vAlign w:val="center"/>
          </w:tcPr>
          <w:p>
            <w:pPr>
              <w:spacing w:after="20" w:before="20"/>
            </w:pPr>
            <w:r/>
            <w:r>
              <w:rPr>
                <w:rFonts w:ascii="Aptos" w:hAnsi="Aptos"/>
                <w:b w:val="0"/>
                <w:sz w:val="16"/>
              </w:rPr>
              <w:t>Concepts whose meaning can be normalized without hiding important differences.</w:t>
            </w:r>
          </w:p>
        </w:tc>
        <w:tc>
          <w:tcPr>
            <w:tcW w:type="dxa" w:w="3312"/>
            <w:vAlign w:val="center"/>
          </w:tcPr>
          <w:p>
            <w:pPr>
              <w:spacing w:after="20" w:before="20"/>
            </w:pPr>
            <w:r/>
            <w:r>
              <w:rPr>
                <w:rFonts w:ascii="Aptos" w:hAnsi="Aptos"/>
                <w:b w:val="0"/>
                <w:sz w:val="16"/>
              </w:rPr>
              <w:t>Workspace, date range, report export, operation history.</w:t>
            </w:r>
          </w:p>
        </w:tc>
      </w:tr>
      <w:tr>
        <w:trPr>
          <w:cantSplit/>
        </w:trPr>
        <w:tc>
          <w:tcPr>
            <w:tcW w:type="dxa" w:w="2376"/>
            <w:vAlign w:val="center"/>
            <w:shd w:fill="F2F6F8"/>
          </w:tcPr>
          <w:p>
            <w:pPr>
              <w:spacing w:after="20" w:before="20"/>
            </w:pPr>
            <w:r/>
            <w:r>
              <w:rPr>
                <w:rFonts w:ascii="Aptos" w:hAnsi="Aptos"/>
                <w:b w:val="0"/>
                <w:sz w:val="16"/>
              </w:rPr>
              <w:t>Shared screen + provider-specific adapter</w:t>
            </w:r>
          </w:p>
        </w:tc>
        <w:tc>
          <w:tcPr>
            <w:tcW w:type="dxa" w:w="3960"/>
            <w:vAlign w:val="center"/>
            <w:shd w:fill="F2F6F8"/>
          </w:tcPr>
          <w:p>
            <w:pPr>
              <w:spacing w:after="20" w:before="20"/>
            </w:pPr>
            <w:r/>
            <w:r>
              <w:rPr>
                <w:rFonts w:ascii="Aptos" w:hAnsi="Aptos"/>
                <w:b w:val="0"/>
                <w:sz w:val="16"/>
              </w:rPr>
              <w:t>The task is familiar but API structures and fields differ.</w:t>
            </w:r>
          </w:p>
        </w:tc>
        <w:tc>
          <w:tcPr>
            <w:tcW w:type="dxa" w:w="3312"/>
            <w:vAlign w:val="center"/>
            <w:shd w:fill="F2F6F8"/>
          </w:tcPr>
          <w:p>
            <w:pPr>
              <w:spacing w:after="20" w:before="20"/>
            </w:pPr>
            <w:r/>
            <w:r>
              <w:rPr>
                <w:rFonts w:ascii="Aptos" w:hAnsi="Aptos"/>
                <w:b w:val="0"/>
                <w:sz w:val="16"/>
              </w:rPr>
              <w:t>Campaign list, pause/resume, account connection status.</w:t>
            </w:r>
          </w:p>
        </w:tc>
      </w:tr>
      <w:tr>
        <w:trPr>
          <w:cantSplit/>
        </w:trPr>
        <w:tc>
          <w:tcPr>
            <w:tcW w:type="dxa" w:w="2376"/>
            <w:vAlign w:val="center"/>
          </w:tcPr>
          <w:p>
            <w:pPr>
              <w:spacing w:after="20" w:before="20"/>
            </w:pPr>
            <w:r/>
            <w:r>
              <w:rPr>
                <w:rFonts w:ascii="Aptos" w:hAnsi="Aptos"/>
                <w:b w:val="0"/>
                <w:sz w:val="16"/>
              </w:rPr>
              <w:t>Shared shell + provider-specific editor</w:t>
            </w:r>
          </w:p>
        </w:tc>
        <w:tc>
          <w:tcPr>
            <w:tcW w:type="dxa" w:w="3960"/>
            <w:vAlign w:val="center"/>
          </w:tcPr>
          <w:p>
            <w:pPr>
              <w:spacing w:after="20" w:before="20"/>
            </w:pPr>
            <w:r/>
            <w:r>
              <w:rPr>
                <w:rFonts w:ascii="Aptos" w:hAnsi="Aptos"/>
                <w:b w:val="0"/>
                <w:sz w:val="16"/>
              </w:rPr>
              <w:t>The workflow branches substantially by network or campaign type.</w:t>
            </w:r>
          </w:p>
        </w:tc>
        <w:tc>
          <w:tcPr>
            <w:tcW w:type="dxa" w:w="3312"/>
            <w:vAlign w:val="center"/>
          </w:tcPr>
          <w:p>
            <w:pPr>
              <w:spacing w:after="20" w:before="20"/>
            </w:pPr>
            <w:r/>
            <w:r>
              <w:rPr>
                <w:rFonts w:ascii="Aptos" w:hAnsi="Aptos"/>
                <w:b w:val="0"/>
                <w:sz w:val="16"/>
              </w:rPr>
              <w:t>Google Search campaign setup vs Meta campaign/ad set/creative setup.</w:t>
            </w:r>
          </w:p>
        </w:tc>
      </w:tr>
      <w:tr>
        <w:trPr>
          <w:cantSplit/>
        </w:trPr>
        <w:tc>
          <w:tcPr>
            <w:tcW w:type="dxa" w:w="2376"/>
            <w:vAlign w:val="center"/>
            <w:shd w:fill="F2F6F8"/>
          </w:tcPr>
          <w:p>
            <w:pPr>
              <w:spacing w:after="20" w:before="20"/>
            </w:pPr>
            <w:r/>
            <w:r>
              <w:rPr>
                <w:rFonts w:ascii="Aptos" w:hAnsi="Aptos"/>
                <w:b w:val="0"/>
                <w:sz w:val="16"/>
              </w:rPr>
              <w:t>Provider-specific page</w:t>
            </w:r>
          </w:p>
        </w:tc>
        <w:tc>
          <w:tcPr>
            <w:tcW w:type="dxa" w:w="3960"/>
            <w:vAlign w:val="center"/>
            <w:shd w:fill="F2F6F8"/>
          </w:tcPr>
          <w:p>
            <w:pPr>
              <w:spacing w:after="20" w:before="20"/>
            </w:pPr>
            <w:r/>
            <w:r>
              <w:rPr>
                <w:rFonts w:ascii="Aptos" w:hAnsi="Aptos"/>
                <w:b w:val="0"/>
                <w:sz w:val="16"/>
              </w:rPr>
              <w:t>Only when the object or workflow is fundamentally provider-native.</w:t>
            </w:r>
          </w:p>
        </w:tc>
        <w:tc>
          <w:tcPr>
            <w:tcW w:type="dxa" w:w="3312"/>
            <w:vAlign w:val="center"/>
            <w:shd w:fill="F2F6F8"/>
          </w:tcPr>
          <w:p>
            <w:pPr>
              <w:spacing w:after="20" w:before="20"/>
            </w:pPr>
            <w:r/>
            <w:r>
              <w:rPr>
                <w:rFonts w:ascii="Aptos" w:hAnsi="Aptos"/>
                <w:b w:val="0"/>
                <w:sz w:val="16"/>
              </w:rPr>
              <w:t>Google keyword/search-term tools; Meta Page/Instagram identity and Pixel/Dataset setup.</w:t>
            </w:r>
          </w:p>
        </w:tc>
      </w:tr>
    </w:tbl>
    <w:p>
      <w:pPr>
        <w:spacing w:after="0"/>
      </w:pPr>
    </w:p>
    <w:p>
      <w:pPr>
        <w:pStyle w:val="Heading1"/>
      </w:pPr>
      <w:r>
        <w:t>2. Recommended navigation</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rPr>
        <w:tc>
          <w:tcPr>
            <w:tcW w:type="dxa" w:w="2304"/>
            <w:vAlign w:val="center"/>
            <w:shd w:fill="154360"/>
          </w:tcPr>
          <w:p>
            <w:pPr>
              <w:spacing w:after="20" w:before="20"/>
            </w:pPr>
            <w:r/>
            <w:r>
              <w:rPr>
                <w:rFonts w:ascii="Aptos" w:hAnsi="Aptos"/>
                <w:b/>
                <w:color w:val="FFFFFF"/>
                <w:sz w:val="16"/>
              </w:rPr>
              <w:t>Navigation item</w:t>
            </w:r>
          </w:p>
        </w:tc>
        <w:tc>
          <w:tcPr>
            <w:tcW w:type="dxa" w:w="6120"/>
            <w:vAlign w:val="center"/>
            <w:shd w:fill="154360"/>
          </w:tcPr>
          <w:p>
            <w:pPr>
              <w:spacing w:after="20" w:before="20"/>
            </w:pPr>
            <w:r/>
            <w:r>
              <w:rPr>
                <w:rFonts w:ascii="Aptos" w:hAnsi="Aptos"/>
                <w:b/>
                <w:color w:val="FFFFFF"/>
                <w:sz w:val="16"/>
              </w:rPr>
              <w:t>Primary purpose</w:t>
            </w:r>
          </w:p>
        </w:tc>
        <w:tc>
          <w:tcPr>
            <w:tcW w:type="dxa" w:w="1224"/>
            <w:vAlign w:val="center"/>
            <w:shd w:fill="154360"/>
          </w:tcPr>
          <w:p>
            <w:pPr>
              <w:spacing w:after="20" w:before="20"/>
            </w:pPr>
            <w:r/>
            <w:r>
              <w:rPr>
                <w:rFonts w:ascii="Aptos" w:hAnsi="Aptos"/>
                <w:b/>
                <w:color w:val="FFFFFF"/>
                <w:sz w:val="16"/>
              </w:rPr>
              <w:t>MVP?</w:t>
            </w:r>
          </w:p>
        </w:tc>
      </w:tr>
      <w:tr>
        <w:trPr>
          <w:cantSplit/>
        </w:trPr>
        <w:tc>
          <w:tcPr>
            <w:tcW w:type="dxa" w:w="2304"/>
            <w:vAlign w:val="center"/>
          </w:tcPr>
          <w:p>
            <w:pPr>
              <w:spacing w:after="20" w:before="20"/>
            </w:pPr>
            <w:r/>
            <w:r>
              <w:rPr>
                <w:rFonts w:ascii="Aptos" w:hAnsi="Aptos"/>
                <w:b w:val="0"/>
                <w:sz w:val="16"/>
              </w:rPr>
              <w:t>Overview</w:t>
            </w:r>
          </w:p>
        </w:tc>
        <w:tc>
          <w:tcPr>
            <w:tcW w:type="dxa" w:w="6120"/>
            <w:vAlign w:val="center"/>
          </w:tcPr>
          <w:p>
            <w:pPr>
              <w:spacing w:after="20" w:before="20"/>
            </w:pPr>
            <w:r/>
            <w:r>
              <w:rPr>
                <w:rFonts w:ascii="Aptos" w:hAnsi="Aptos"/>
                <w:b w:val="0"/>
                <w:sz w:val="16"/>
              </w:rPr>
              <w:t>Cross-network KPI cards, trend charts, spend and conversion summaries.</w:t>
            </w:r>
          </w:p>
        </w:tc>
        <w:tc>
          <w:tcPr>
            <w:tcW w:type="dxa" w:w="1224"/>
            <w:vAlign w:val="center"/>
          </w:tcPr>
          <w:p>
            <w:pPr>
              <w:spacing w:after="20" w:before="20"/>
            </w:pPr>
            <w:r/>
            <w:r>
              <w:rPr>
                <w:rFonts w:ascii="Aptos" w:hAnsi="Aptos"/>
                <w:b w:val="0"/>
                <w:sz w:val="16"/>
              </w:rPr>
              <w:t>Yes</w:t>
            </w:r>
          </w:p>
        </w:tc>
      </w:tr>
      <w:tr>
        <w:trPr>
          <w:cantSplit/>
        </w:trPr>
        <w:tc>
          <w:tcPr>
            <w:tcW w:type="dxa" w:w="2304"/>
            <w:vAlign w:val="center"/>
            <w:shd w:fill="F2F6F8"/>
          </w:tcPr>
          <w:p>
            <w:pPr>
              <w:spacing w:after="20" w:before="20"/>
            </w:pPr>
            <w:r/>
            <w:r>
              <w:rPr>
                <w:rFonts w:ascii="Aptos" w:hAnsi="Aptos"/>
                <w:b w:val="0"/>
                <w:sz w:val="16"/>
              </w:rPr>
              <w:t>Campaigns</w:t>
            </w:r>
          </w:p>
        </w:tc>
        <w:tc>
          <w:tcPr>
            <w:tcW w:type="dxa" w:w="6120"/>
            <w:vAlign w:val="center"/>
            <w:shd w:fill="F2F6F8"/>
          </w:tcPr>
          <w:p>
            <w:pPr>
              <w:spacing w:after="20" w:before="20"/>
            </w:pPr>
            <w:r/>
            <w:r>
              <w:rPr>
                <w:rFonts w:ascii="Aptos" w:hAnsi="Aptos"/>
                <w:b w:val="0"/>
                <w:sz w:val="16"/>
              </w:rPr>
              <w:t>One searchable campaign list across connected accounts; safe status and budget actions.</w:t>
            </w:r>
          </w:p>
        </w:tc>
        <w:tc>
          <w:tcPr>
            <w:tcW w:type="dxa" w:w="1224"/>
            <w:vAlign w:val="center"/>
            <w:shd w:fill="F2F6F8"/>
          </w:tcPr>
          <w:p>
            <w:pPr>
              <w:spacing w:after="20" w:before="20"/>
            </w:pPr>
            <w:r/>
            <w:r>
              <w:rPr>
                <w:rFonts w:ascii="Aptos" w:hAnsi="Aptos"/>
                <w:b w:val="0"/>
                <w:sz w:val="16"/>
              </w:rPr>
              <w:t>Yes</w:t>
            </w:r>
          </w:p>
        </w:tc>
      </w:tr>
      <w:tr>
        <w:trPr>
          <w:cantSplit/>
        </w:trPr>
        <w:tc>
          <w:tcPr>
            <w:tcW w:type="dxa" w:w="2304"/>
            <w:vAlign w:val="center"/>
          </w:tcPr>
          <w:p>
            <w:pPr>
              <w:spacing w:after="20" w:before="20"/>
            </w:pPr>
            <w:r/>
            <w:r>
              <w:rPr>
                <w:rFonts w:ascii="Aptos" w:hAnsi="Aptos"/>
                <w:b w:val="0"/>
                <w:sz w:val="16"/>
              </w:rPr>
              <w:t>Ad groups &amp; ad sets</w:t>
            </w:r>
          </w:p>
        </w:tc>
        <w:tc>
          <w:tcPr>
            <w:tcW w:type="dxa" w:w="6120"/>
            <w:vAlign w:val="center"/>
          </w:tcPr>
          <w:p>
            <w:pPr>
              <w:spacing w:after="20" w:before="20"/>
            </w:pPr>
            <w:r/>
            <w:r>
              <w:rPr>
                <w:rFonts w:ascii="Aptos" w:hAnsi="Aptos"/>
                <w:b w:val="0"/>
                <w:sz w:val="16"/>
              </w:rPr>
              <w:t>Shared hierarchy browser, with native model labels.</w:t>
            </w:r>
          </w:p>
        </w:tc>
        <w:tc>
          <w:tcPr>
            <w:tcW w:type="dxa" w:w="1224"/>
            <w:vAlign w:val="center"/>
          </w:tcPr>
          <w:p>
            <w:pPr>
              <w:spacing w:after="20" w:before="20"/>
            </w:pPr>
            <w:r/>
            <w:r>
              <w:rPr>
                <w:rFonts w:ascii="Aptos" w:hAnsi="Aptos"/>
                <w:b w:val="0"/>
                <w:sz w:val="16"/>
              </w:rPr>
              <w:t>Later MVP / Phase 2</w:t>
            </w:r>
          </w:p>
        </w:tc>
      </w:tr>
      <w:tr>
        <w:trPr>
          <w:cantSplit/>
        </w:trPr>
        <w:tc>
          <w:tcPr>
            <w:tcW w:type="dxa" w:w="2304"/>
            <w:vAlign w:val="center"/>
            <w:shd w:fill="F2F6F8"/>
          </w:tcPr>
          <w:p>
            <w:pPr>
              <w:spacing w:after="20" w:before="20"/>
            </w:pPr>
            <w:r/>
            <w:r>
              <w:rPr>
                <w:rFonts w:ascii="Aptos" w:hAnsi="Aptos"/>
                <w:b w:val="0"/>
                <w:sz w:val="16"/>
              </w:rPr>
              <w:t>Ads &amp; creatives</w:t>
            </w:r>
          </w:p>
        </w:tc>
        <w:tc>
          <w:tcPr>
            <w:tcW w:type="dxa" w:w="6120"/>
            <w:vAlign w:val="center"/>
            <w:shd w:fill="F2F6F8"/>
          </w:tcPr>
          <w:p>
            <w:pPr>
              <w:spacing w:after="20" w:before="20"/>
            </w:pPr>
            <w:r/>
            <w:r>
              <w:rPr>
                <w:rFonts w:ascii="Aptos" w:hAnsi="Aptos"/>
                <w:b w:val="0"/>
                <w:sz w:val="16"/>
              </w:rPr>
              <w:t>Ad-level performance, previews, creative library and review status.</w:t>
            </w:r>
          </w:p>
        </w:tc>
        <w:tc>
          <w:tcPr>
            <w:tcW w:type="dxa" w:w="1224"/>
            <w:vAlign w:val="center"/>
            <w:shd w:fill="F2F6F8"/>
          </w:tcPr>
          <w:p>
            <w:pPr>
              <w:spacing w:after="20" w:before="20"/>
            </w:pPr>
            <w:r/>
            <w:r>
              <w:rPr>
                <w:rFonts w:ascii="Aptos" w:hAnsi="Aptos"/>
                <w:b w:val="0"/>
                <w:sz w:val="16"/>
              </w:rPr>
              <w:t>Phase 2</w:t>
            </w:r>
          </w:p>
        </w:tc>
      </w:tr>
      <w:tr>
        <w:trPr>
          <w:cantSplit/>
        </w:trPr>
        <w:tc>
          <w:tcPr>
            <w:tcW w:type="dxa" w:w="2304"/>
            <w:vAlign w:val="center"/>
          </w:tcPr>
          <w:p>
            <w:pPr>
              <w:spacing w:after="20" w:before="20"/>
            </w:pPr>
            <w:r/>
            <w:r>
              <w:rPr>
                <w:rFonts w:ascii="Aptos" w:hAnsi="Aptos"/>
                <w:b w:val="0"/>
                <w:sz w:val="16"/>
              </w:rPr>
              <w:t>Reports</w:t>
            </w:r>
          </w:p>
        </w:tc>
        <w:tc>
          <w:tcPr>
            <w:tcW w:type="dxa" w:w="6120"/>
            <w:vAlign w:val="center"/>
          </w:tcPr>
          <w:p>
            <w:pPr>
              <w:spacing w:after="20" w:before="20"/>
            </w:pPr>
            <w:r/>
            <w:r>
              <w:rPr>
                <w:rFonts w:ascii="Aptos" w:hAnsi="Aptos"/>
                <w:b w:val="0"/>
                <w:sz w:val="16"/>
              </w:rPr>
              <w:t>Saved views, date comparisons, CSV exports and freshness details.</w:t>
            </w:r>
          </w:p>
        </w:tc>
        <w:tc>
          <w:tcPr>
            <w:tcW w:type="dxa" w:w="1224"/>
            <w:vAlign w:val="center"/>
          </w:tcPr>
          <w:p>
            <w:pPr>
              <w:spacing w:after="20" w:before="20"/>
            </w:pPr>
            <w:r/>
            <w:r>
              <w:rPr>
                <w:rFonts w:ascii="Aptos" w:hAnsi="Aptos"/>
                <w:b w:val="0"/>
                <w:sz w:val="16"/>
              </w:rPr>
              <w:t>Yes - basic</w:t>
            </w:r>
          </w:p>
        </w:tc>
      </w:tr>
      <w:tr>
        <w:trPr>
          <w:cantSplit/>
        </w:trPr>
        <w:tc>
          <w:tcPr>
            <w:tcW w:type="dxa" w:w="2304"/>
            <w:vAlign w:val="center"/>
            <w:shd w:fill="F2F6F8"/>
          </w:tcPr>
          <w:p>
            <w:pPr>
              <w:spacing w:after="20" w:before="20"/>
            </w:pPr>
            <w:r/>
            <w:r>
              <w:rPr>
                <w:rFonts w:ascii="Aptos" w:hAnsi="Aptos"/>
                <w:b w:val="0"/>
                <w:sz w:val="16"/>
              </w:rPr>
              <w:t>Audiences &amp; targeting</w:t>
            </w:r>
          </w:p>
        </w:tc>
        <w:tc>
          <w:tcPr>
            <w:tcW w:type="dxa" w:w="6120"/>
            <w:vAlign w:val="center"/>
            <w:shd w:fill="F2F6F8"/>
          </w:tcPr>
          <w:p>
            <w:pPr>
              <w:spacing w:after="20" w:before="20"/>
            </w:pPr>
            <w:r/>
            <w:r>
              <w:rPr>
                <w:rFonts w:ascii="Aptos" w:hAnsi="Aptos"/>
                <w:b w:val="0"/>
                <w:sz w:val="16"/>
              </w:rPr>
              <w:t>Common landing page with Google- and Meta-specific tabs/forms.</w:t>
            </w:r>
          </w:p>
        </w:tc>
        <w:tc>
          <w:tcPr>
            <w:tcW w:type="dxa" w:w="1224"/>
            <w:vAlign w:val="center"/>
            <w:shd w:fill="F2F6F8"/>
          </w:tcPr>
          <w:p>
            <w:pPr>
              <w:spacing w:after="20" w:before="20"/>
            </w:pPr>
            <w:r/>
            <w:r>
              <w:rPr>
                <w:rFonts w:ascii="Aptos" w:hAnsi="Aptos"/>
                <w:b w:val="0"/>
                <w:sz w:val="16"/>
              </w:rPr>
              <w:t>Later</w:t>
            </w:r>
          </w:p>
        </w:tc>
      </w:tr>
      <w:tr>
        <w:trPr>
          <w:cantSplit/>
        </w:trPr>
        <w:tc>
          <w:tcPr>
            <w:tcW w:type="dxa" w:w="2304"/>
            <w:vAlign w:val="center"/>
          </w:tcPr>
          <w:p>
            <w:pPr>
              <w:spacing w:after="20" w:before="20"/>
            </w:pPr>
            <w:r/>
            <w:r>
              <w:rPr>
                <w:rFonts w:ascii="Aptos" w:hAnsi="Aptos"/>
                <w:b w:val="0"/>
                <w:sz w:val="16"/>
              </w:rPr>
              <w:t>Conversions</w:t>
            </w:r>
          </w:p>
        </w:tc>
        <w:tc>
          <w:tcPr>
            <w:tcW w:type="dxa" w:w="6120"/>
            <w:vAlign w:val="center"/>
          </w:tcPr>
          <w:p>
            <w:pPr>
              <w:spacing w:after="20" w:before="20"/>
            </w:pPr>
            <w:r/>
            <w:r>
              <w:rPr>
                <w:rFonts w:ascii="Aptos" w:hAnsi="Aptos"/>
                <w:b w:val="0"/>
                <w:sz w:val="16"/>
              </w:rPr>
              <w:t>Reported conversions plus measurement configuration and server-side event tools.</w:t>
            </w:r>
          </w:p>
        </w:tc>
        <w:tc>
          <w:tcPr>
            <w:tcW w:type="dxa" w:w="1224"/>
            <w:vAlign w:val="center"/>
          </w:tcPr>
          <w:p>
            <w:pPr>
              <w:spacing w:after="20" w:before="20"/>
            </w:pPr>
            <w:r/>
            <w:r>
              <w:rPr>
                <w:rFonts w:ascii="Aptos" w:hAnsi="Aptos"/>
                <w:b w:val="0"/>
                <w:sz w:val="16"/>
              </w:rPr>
              <w:t>Reporting first</w:t>
            </w:r>
          </w:p>
        </w:tc>
      </w:tr>
      <w:tr>
        <w:trPr>
          <w:cantSplit/>
        </w:trPr>
        <w:tc>
          <w:tcPr>
            <w:tcW w:type="dxa" w:w="2304"/>
            <w:vAlign w:val="center"/>
            <w:shd w:fill="F2F6F8"/>
          </w:tcPr>
          <w:p>
            <w:pPr>
              <w:spacing w:after="20" w:before="20"/>
            </w:pPr>
            <w:r/>
            <w:r>
              <w:rPr>
                <w:rFonts w:ascii="Aptos" w:hAnsi="Aptos"/>
                <w:b w:val="0"/>
                <w:sz w:val="16"/>
              </w:rPr>
              <w:t>Billing</w:t>
            </w:r>
          </w:p>
        </w:tc>
        <w:tc>
          <w:tcPr>
            <w:tcW w:type="dxa" w:w="6120"/>
            <w:vAlign w:val="center"/>
            <w:shd w:fill="F2F6F8"/>
          </w:tcPr>
          <w:p>
            <w:pPr>
              <w:spacing w:after="20" w:before="20"/>
            </w:pPr>
            <w:r/>
            <w:r>
              <w:rPr>
                <w:rFonts w:ascii="Aptos" w:hAnsi="Aptos"/>
                <w:b w:val="0"/>
                <w:sz w:val="16"/>
              </w:rPr>
              <w:t>Advertiser account billing overview where allowed; separate SaaS subscription billing.</w:t>
            </w:r>
          </w:p>
        </w:tc>
        <w:tc>
          <w:tcPr>
            <w:tcW w:type="dxa" w:w="1224"/>
            <w:vAlign w:val="center"/>
            <w:shd w:fill="F2F6F8"/>
          </w:tcPr>
          <w:p>
            <w:pPr>
              <w:spacing w:after="20" w:before="20"/>
            </w:pPr>
            <w:r/>
            <w:r>
              <w:rPr>
                <w:rFonts w:ascii="Aptos" w:hAnsi="Aptos"/>
                <w:b w:val="0"/>
                <w:sz w:val="16"/>
              </w:rPr>
              <w:t>Later</w:t>
            </w:r>
          </w:p>
        </w:tc>
      </w:tr>
      <w:tr>
        <w:trPr>
          <w:cantSplit/>
        </w:trPr>
        <w:tc>
          <w:tcPr>
            <w:tcW w:type="dxa" w:w="2304"/>
            <w:vAlign w:val="center"/>
          </w:tcPr>
          <w:p>
            <w:pPr>
              <w:spacing w:after="20" w:before="20"/>
            </w:pPr>
            <w:r/>
            <w:r>
              <w:rPr>
                <w:rFonts w:ascii="Aptos" w:hAnsi="Aptos"/>
                <w:b w:val="0"/>
                <w:sz w:val="16"/>
              </w:rPr>
              <w:t>Connected accounts</w:t>
            </w:r>
          </w:p>
        </w:tc>
        <w:tc>
          <w:tcPr>
            <w:tcW w:type="dxa" w:w="6120"/>
            <w:vAlign w:val="center"/>
          </w:tcPr>
          <w:p>
            <w:pPr>
              <w:spacing w:after="20" w:before="20"/>
            </w:pPr>
            <w:r/>
            <w:r>
              <w:rPr>
                <w:rFonts w:ascii="Aptos" w:hAnsi="Aptos"/>
                <w:b w:val="0"/>
                <w:sz w:val="16"/>
              </w:rPr>
              <w:t>Connect/disconnect providers, choose accounts, see permissions and health.</w:t>
            </w:r>
          </w:p>
        </w:tc>
        <w:tc>
          <w:tcPr>
            <w:tcW w:type="dxa" w:w="1224"/>
            <w:vAlign w:val="center"/>
          </w:tcPr>
          <w:p>
            <w:pPr>
              <w:spacing w:after="20" w:before="20"/>
            </w:pPr>
            <w:r/>
            <w:r>
              <w:rPr>
                <w:rFonts w:ascii="Aptos" w:hAnsi="Aptos"/>
                <w:b w:val="0"/>
                <w:sz w:val="16"/>
              </w:rPr>
              <w:t>Yes</w:t>
            </w:r>
          </w:p>
        </w:tc>
      </w:tr>
      <w:tr>
        <w:trPr>
          <w:cantSplit/>
        </w:trPr>
        <w:tc>
          <w:tcPr>
            <w:tcW w:type="dxa" w:w="2304"/>
            <w:vAlign w:val="center"/>
            <w:shd w:fill="F2F6F8"/>
          </w:tcPr>
          <w:p>
            <w:pPr>
              <w:spacing w:after="20" w:before="20"/>
            </w:pPr>
            <w:r/>
            <w:r>
              <w:rPr>
                <w:rFonts w:ascii="Aptos" w:hAnsi="Aptos"/>
                <w:b w:val="0"/>
                <w:sz w:val="16"/>
              </w:rPr>
              <w:t>Activity &amp; diagnostics</w:t>
            </w:r>
          </w:p>
        </w:tc>
        <w:tc>
          <w:tcPr>
            <w:tcW w:type="dxa" w:w="6120"/>
            <w:vAlign w:val="center"/>
            <w:shd w:fill="F2F6F8"/>
          </w:tcPr>
          <w:p>
            <w:pPr>
              <w:spacing w:after="20" w:before="20"/>
            </w:pPr>
            <w:r/>
            <w:r>
              <w:rPr>
                <w:rFonts w:ascii="Aptos" w:hAnsi="Aptos"/>
                <w:b w:val="0"/>
                <w:sz w:val="16"/>
              </w:rPr>
              <w:t>Audit log, action outcomes, provider errors, quota and sync health.</w:t>
            </w:r>
          </w:p>
        </w:tc>
        <w:tc>
          <w:tcPr>
            <w:tcW w:type="dxa" w:w="1224"/>
            <w:vAlign w:val="center"/>
            <w:shd w:fill="F2F6F8"/>
          </w:tcPr>
          <w:p>
            <w:pPr>
              <w:spacing w:after="20" w:before="20"/>
            </w:pPr>
            <w:r/>
            <w:r>
              <w:rPr>
                <w:rFonts w:ascii="Aptos" w:hAnsi="Aptos"/>
                <w:b w:val="0"/>
                <w:sz w:val="16"/>
              </w:rPr>
              <w:t>Basic version yes</w:t>
            </w:r>
          </w:p>
        </w:tc>
      </w:tr>
      <w:tr>
        <w:trPr>
          <w:cantSplit/>
        </w:trPr>
        <w:tc>
          <w:tcPr>
            <w:tcW w:type="dxa" w:w="2304"/>
            <w:vAlign w:val="center"/>
          </w:tcPr>
          <w:p>
            <w:pPr>
              <w:spacing w:after="20" w:before="20"/>
            </w:pPr>
            <w:r/>
            <w:r>
              <w:rPr>
                <w:rFonts w:ascii="Aptos" w:hAnsi="Aptos"/>
                <w:b w:val="0"/>
                <w:sz w:val="16"/>
              </w:rPr>
              <w:t>Workspace settings</w:t>
            </w:r>
          </w:p>
        </w:tc>
        <w:tc>
          <w:tcPr>
            <w:tcW w:type="dxa" w:w="6120"/>
            <w:vAlign w:val="center"/>
          </w:tcPr>
          <w:p>
            <w:pPr>
              <w:spacing w:after="20" w:before="20"/>
            </w:pPr>
            <w:r/>
            <w:r>
              <w:rPr>
                <w:rFonts w:ascii="Aptos" w:hAnsi="Aptos"/>
                <w:b w:val="0"/>
                <w:sz w:val="16"/>
              </w:rPr>
              <w:t>Team, roles, preferences, notifications, exports and subscription.</w:t>
            </w:r>
          </w:p>
        </w:tc>
        <w:tc>
          <w:tcPr>
            <w:tcW w:type="dxa" w:w="1224"/>
            <w:vAlign w:val="center"/>
          </w:tcPr>
          <w:p>
            <w:pPr>
              <w:spacing w:after="20" w:before="20"/>
            </w:pPr>
            <w:r/>
            <w:r>
              <w:rPr>
                <w:rFonts w:ascii="Aptos" w:hAnsi="Aptos"/>
                <w:b w:val="0"/>
                <w:sz w:val="16"/>
              </w:rPr>
              <w:t>Basic yes</w:t>
            </w:r>
          </w:p>
        </w:tc>
      </w:tr>
    </w:tbl>
    <w:p>
      <w:pPr>
        <w:spacing w:after="0"/>
      </w:pPr>
    </w:p>
    <w:p>
      <w:pPr>
        <w:pStyle w:val="Heading1"/>
      </w:pPr>
      <w:r>
        <w:t>3. Screen specifications</w:t>
      </w:r>
    </w:p>
    <w:p>
      <w:pPr>
        <w:pStyle w:val="Heading2"/>
      </w:pPr>
      <w:r>
        <w:t>3.1 Overview dashboard</w:t>
      </w:r>
    </w:p>
    <w:p>
      <w:r>
        <w:t>Layout: account/workspace selector and date range at top; KPI cards; spend/performance trend; provider split; campaign highlights; recent changes and connection warnings.</w:t>
      </w:r>
    </w:p>
    <w:p>
      <w:pPr>
        <w:pStyle w:val="ListBullet"/>
        <w:spacing w:after="40"/>
      </w:pPr>
      <w:r>
        <w:t>Shared UI: spend, impressions, clicks, CTR, CPC, conversions, conversion value and ROAS where supported; trend comparison; filters by provider, account, campaign and date.</w:t>
      </w:r>
    </w:p>
    <w:p>
      <w:pPr>
        <w:pStyle w:val="ListBullet"/>
        <w:spacing w:after="40"/>
      </w:pPr>
      <w:r>
        <w:t>Provider-specific: source attribution/definition, conversion window, goal/action mapping and unsupported metric labels. Never silently merge unlike metrics.</w:t>
      </w:r>
    </w:p>
    <w:p>
      <w:pPr>
        <w:pStyle w:val="ListBullet"/>
        <w:spacing w:after="40"/>
      </w:pPr>
      <w:r>
        <w:t>Required states: loading, no connected accounts, no data in range, partial provider failure, stale data and mixed-currency warning.</w:t>
      </w:r>
    </w:p>
    <w:p>
      <w:pPr>
        <w:pStyle w:val="ListBullet"/>
        <w:spacing w:after="40"/>
      </w:pPr>
      <w:r>
        <w:t>MVP: read-only metrics from one authorized Google account and one authorized Meta ad account; show per-provider breakdown before adding a blended total.</w:t>
      </w:r>
    </w:p>
    <w:p>
      <w:pPr>
        <w:pStyle w:val="Heading2"/>
      </w:pPr>
      <w:r>
        <w:t>3.2 Campaign manager</w:t>
      </w:r>
    </w:p>
    <w:p>
      <w:r>
        <w:t>Layout: one table with provider icon, account, campaign name, campaign type/objective, delivery status, budget, spend, impressions, clicks, conversions and last sync. Add search, filters, column selection and bulk-selection controls.</w:t>
      </w:r>
    </w:p>
    <w:p>
      <w:pPr>
        <w:pStyle w:val="ListBullet"/>
        <w:spacing w:after="40"/>
      </w:pPr>
      <w:r>
        <w:t>Shared UI: browse, search, sort, filter, open details, export, pause/resume supported campaigns and view action history.</w:t>
      </w:r>
    </w:p>
    <w:p>
      <w:pPr>
        <w:pStyle w:val="ListBullet"/>
        <w:spacing w:after="40"/>
      </w:pPr>
      <w:r>
        <w:t>Provider-specific: native campaign type, objective, configured status, effective/delivery status, budget source and fields not applicable on the other network.</w:t>
      </w:r>
    </w:p>
    <w:p>
      <w:pPr>
        <w:pStyle w:val="ListBullet"/>
        <w:spacing w:after="40"/>
      </w:pPr>
      <w:r>
        <w:t>Safe actions: show a preview, ask for confirmation for write actions, record a per-campaign result, and refresh the native status after the operation.</w:t>
      </w:r>
    </w:p>
    <w:p>
      <w:pPr>
        <w:pStyle w:val="ListBullet"/>
        <w:spacing w:after="40"/>
      </w:pPr>
      <w:r>
        <w:t>Do not promise: identical campaign type support, identical budget semantics, universal duplication or an atomic cross-network bulk update.</w:t>
      </w:r>
    </w:p>
    <w:p>
      <w:pPr>
        <w:pStyle w:val="Heading2"/>
      </w:pPr>
      <w:r>
        <w:t>3.3 Campaign detail</w:t>
      </w:r>
    </w:p>
    <w:p>
      <w:r>
        <w:t>Use shared tabs: Summary, Performance, Structure, Settings, Change history. The settings editor should be schema/capability-driven, not a single form containing fields that do not apply.</w:t>
      </w:r>
    </w:p>
    <w:p>
      <w:pPr>
        <w:pStyle w:val="ListBullet"/>
        <w:spacing w:after="40"/>
      </w:pPr>
      <w:r>
        <w:t>Google detail can include campaign type, bidding strategy, budget association, networks, dates and relevant campaign-specific resources.</w:t>
      </w:r>
    </w:p>
    <w:p>
      <w:pPr>
        <w:pStyle w:val="ListBullet"/>
        <w:spacing w:after="40"/>
      </w:pPr>
      <w:r>
        <w:t>Meta detail can include objective, buying type, configured/effective status and linked ad sets/ads.</w:t>
      </w:r>
    </w:p>
    <w:p>
      <w:pPr>
        <w:pStyle w:val="ListBullet"/>
        <w:spacing w:after="40"/>
      </w:pPr>
      <w:r>
        <w:t>Keep native IDs and provider links visible in diagnostics, not as the main end-user identity.</w:t>
      </w:r>
    </w:p>
    <w:p>
      <w:pPr>
        <w:pStyle w:val="Heading2"/>
      </w:pPr>
      <w:r>
        <w:t>3.4 Ad groups &amp; ad sets</w:t>
      </w:r>
    </w:p>
    <w:p>
      <w:r>
        <w:t>Show one navigation category because these represent a mid-level grouping, but preserve their separate semantics and editors.</w:t>
      </w:r>
    </w:p>
    <w:p>
      <w:pPr>
        <w:pStyle w:val="ListBullet"/>
        <w:spacing w:after="40"/>
      </w:pPr>
      <w:r>
        <w:t>Google Ad Group view: keywords/criteria, ads, bidding and eligible settings depending on campaign type.</w:t>
      </w:r>
    </w:p>
    <w:p>
      <w:pPr>
        <w:pStyle w:val="ListBullet"/>
        <w:spacing w:after="40"/>
      </w:pPr>
      <w:r>
        <w:t>Meta Ad Set view: audience targeting, placements, schedule, optimization goal, billing event and budget placement when supported.</w:t>
      </w:r>
    </w:p>
    <w:p>
      <w:pPr>
        <w:pStyle w:val="ListBullet"/>
        <w:spacing w:after="40"/>
      </w:pPr>
      <w:r>
        <w:t>Common operations should be listed only when a capability check confirms they apply. Unsupported fields should be hidden or explicitly labelled as unavailable, not sent as empty values.</w:t>
      </w:r>
    </w:p>
    <w:p>
      <w:pPr>
        <w:pStyle w:val="Heading2"/>
      </w:pPr>
      <w:r>
        <w:t>3.5 Ads &amp; creatives</w:t>
      </w:r>
    </w:p>
    <w:p>
      <w:r>
        <w:t>Combine discovery and performance, not necessarily creation. Include ad preview, delivery/review status, creative references, destination URL, media thumbnail, parent campaign and group.</w:t>
      </w:r>
    </w:p>
    <w:p>
      <w:pPr>
        <w:pStyle w:val="ListBullet"/>
        <w:spacing w:after="40"/>
      </w:pPr>
      <w:r>
        <w:t>Shared UI: table, filters, preview drawer, performance chart, export, and status/error explanation.</w:t>
      </w:r>
    </w:p>
    <w:p>
      <w:pPr>
        <w:pStyle w:val="ListBullet"/>
        <w:spacing w:after="40"/>
      </w:pPr>
      <w:r>
        <w:t>Provider-specific: Google responsive search ad assets/extensions and asset-group-related workflows; Meta creative object, Page/Instagram identity, carousel/catalog formats and media processing.</w:t>
      </w:r>
    </w:p>
    <w:p>
      <w:pPr>
        <w:pStyle w:val="ListBullet"/>
        <w:spacing w:after="40"/>
      </w:pPr>
      <w:r>
        <w:t>Creation should be a stepper that branches by platform, objective, format and eligibility. Upload, processing, creative creation, ad creation, review and delivery are distinct stages.</w:t>
      </w:r>
    </w:p>
    <w:p>
      <w:pPr>
        <w:pStyle w:val="Heading2"/>
      </w:pPr>
      <w:r>
        <w:t>3.6 Reports</w:t>
      </w:r>
    </w:p>
    <w:p>
      <w:r>
        <w:t>Provide reusable report templates at account, campaign and lower hierarchy levels. A report definition must record provider, level, date range, timezone, currency, attribution settings and selected metric definitions.</w:t>
      </w:r>
    </w:p>
    <w:p>
      <w:pPr>
        <w:pStyle w:val="ListBullet"/>
        <w:spacing w:after="40"/>
      </w:pPr>
      <w:r>
        <w:t>MVP report: spend, impressions, clicks, CTR, CPC, conversions and conversion value where both the provider and selected account support them.</w:t>
      </w:r>
    </w:p>
    <w:p>
      <w:pPr>
        <w:pStyle w:val="ListBullet"/>
        <w:spacing w:after="40"/>
      </w:pPr>
      <w:r>
        <w:t>Show partial-result banners if one provider errors, a result is still processing, or only some accounts returned data.</w:t>
      </w:r>
    </w:p>
    <w:p>
      <w:pPr>
        <w:pStyle w:val="ListBullet"/>
        <w:spacing w:after="40"/>
      </w:pPr>
      <w:r>
        <w:t>CSV export and saved views are good early features; scheduled delivery can follow later.</w:t>
      </w:r>
    </w:p>
    <w:p>
      <w:pPr>
        <w:pStyle w:val="Heading2"/>
      </w:pPr>
      <w:r>
        <w:t>3.7 Connected accounts</w:t>
      </w:r>
    </w:p>
    <w:p>
      <w:r>
        <w:t>This is a shared screen with two different OAuth journeys underneath. Organize by provider and workspace, not by a single global token file.</w:t>
      </w:r>
    </w:p>
    <w:p>
      <w:pPr>
        <w:pStyle w:val="ListBullet"/>
        <w:spacing w:after="40"/>
      </w:pPr>
      <w:r>
        <w:t>Show: provider, connected identity, accessible account list, selected account, currency, timezone, granted permissions/scopes, connection state, last successful sync and reconnect/disconnect controls.</w:t>
      </w:r>
    </w:p>
    <w:p>
      <w:pPr>
        <w:pStyle w:val="ListBullet"/>
        <w:spacing w:after="40"/>
      </w:pPr>
      <w:r>
        <w:t>Google-specific: accessible customer accounts and manager-account context where relevant; current project access eligibility.</w:t>
      </w:r>
    </w:p>
    <w:p>
      <w:pPr>
        <w:pStyle w:val="ListBullet"/>
        <w:spacing w:after="40"/>
      </w:pPr>
      <w:r>
        <w:t>Meta-specific: Marketing API app access tier and the reachable ad accounts/business assets required for the selected features.</w:t>
      </w:r>
    </w:p>
    <w:p>
      <w:pPr>
        <w:pStyle w:val="ListBullet"/>
        <w:spacing w:after="40"/>
      </w:pPr>
      <w:r>
        <w:t>Security: tokens are stored per connection, encrypted server-side, never returned to the browser or logged. Disconnect should revoke when supported and delete/disable stored credentials according to policy.</w:t>
      </w:r>
    </w:p>
    <w:p>
      <w:pPr>
        <w:pStyle w:val="Heading2"/>
      </w:pPr>
      <w:r>
        <w:t>3.8 Audiences &amp; targeting</w:t>
      </w:r>
    </w:p>
    <w:p>
      <w:r>
        <w:t>Use a common landing page, but separate provider tabs and native editors. Do not promise that Google audiences and Meta audiences can be synced or used interchangeably.</w:t>
      </w:r>
    </w:p>
    <w:p>
      <w:pPr>
        <w:pStyle w:val="ListBullet"/>
        <w:spacing w:after="40"/>
      </w:pPr>
      <w:r>
        <w:t>Google: keyword and negative keyword tools, locations/languages, audience criteria and campaign-type-specific targeting; Customer Match/event flows must follow current official integration requirements.</w:t>
      </w:r>
    </w:p>
    <w:p>
      <w:pPr>
        <w:pStyle w:val="ListBullet"/>
        <w:spacing w:after="40"/>
      </w:pPr>
      <w:r>
        <w:t>Meta: custom/saved/lookalike audiences, exclusions, placements, demographics, geo targeting and ad-set configuration, subject to account permissions and policy.</w:t>
      </w:r>
    </w:p>
    <w:p>
      <w:pPr>
        <w:pStyle w:val="ListBullet"/>
        <w:spacing w:after="40"/>
      </w:pPr>
      <w:r>
        <w:t>Any customer-list or event ingestion requires explicit scope, user authorization, consent/purpose records where applicable, deduplication and an audit trail.</w:t>
      </w:r>
    </w:p>
    <w:p>
      <w:pPr>
        <w:pStyle w:val="Heading2"/>
      </w:pPr>
      <w:r>
        <w:t>3.9 Conversions and measurement</w:t>
      </w:r>
    </w:p>
    <w:p>
      <w:r>
        <w:t>Separate three workflows in the product: reporting attributed conversions, configuring measurement assets, and sending first-party/offline/server-side events. One does not imply the others are implemented.</w:t>
      </w:r>
    </w:p>
    <w:p>
      <w:pPr>
        <w:pStyle w:val="ListBullet"/>
        <w:spacing w:after="40"/>
      </w:pPr>
      <w:r>
        <w:t>Reporting: common summary with provider-specific attribution labels, windows and definitions.</w:t>
      </w:r>
    </w:p>
    <w:p>
      <w:pPr>
        <w:pStyle w:val="ListBullet"/>
        <w:spacing w:after="40"/>
      </w:pPr>
      <w:r>
        <w:t>Configuration: separate Google conversion-action/goals setup and Meta Pixel/Dataset/event setup flows.</w:t>
      </w:r>
    </w:p>
    <w:p>
      <w:pPr>
        <w:pStyle w:val="ListBullet"/>
        <w:spacing w:after="40"/>
      </w:pPr>
      <w:r>
        <w:t>Event delivery: separate monitored pipeline with consent checks, deduplication, retries, test events and diagnostics; do not put this in the first MVP unless it is a core requirement.</w:t>
      </w:r>
    </w:p>
    <w:p>
      <w:pPr>
        <w:pStyle w:val="Heading2"/>
      </w:pPr>
      <w:r>
        <w:t>3.10 Billing</w:t>
      </w:r>
    </w:p>
    <w:p>
      <w:r>
        <w:t>Keep advertiser billing and billing for your SaaS as two separate concepts. A unified page can summarize what is available but must route to provider-specific workflows and clearly state capability/eligibility limitations.</w:t>
      </w:r>
    </w:p>
    <w:p>
      <w:pPr>
        <w:pStyle w:val="ListBullet"/>
        <w:spacing w:after="40"/>
      </w:pPr>
      <w:r>
        <w:t>Advertiser billing: show supported account billing/spending details only when the provider API and account eligibility allow them.</w:t>
      </w:r>
    </w:p>
    <w:p>
      <w:pPr>
        <w:pStyle w:val="ListBullet"/>
        <w:spacing w:after="40"/>
      </w:pPr>
      <w:r>
        <w:t>SaaS billing: plan, seats, product usage and invoices are your own billing system, unrelated to ad account payment methods.</w:t>
      </w:r>
    </w:p>
    <w:p>
      <w:pPr>
        <w:pStyle w:val="Heading2"/>
      </w:pPr>
      <w:r>
        <w:t>3.11 Activity, action center and diagnostics</w:t>
      </w:r>
    </w:p>
    <w:p>
      <w:r>
        <w:t>Every write operation should create a durable operation record visible to the user and support team.</w:t>
      </w:r>
    </w:p>
    <w:p>
      <w:pPr>
        <w:pStyle w:val="ListBullet"/>
        <w:spacing w:after="40"/>
      </w:pPr>
      <w:r>
        <w:t>Fields: initiated by, workspace, provider, account, action, resource, requested change, timestamp, operation ID, result, provider request ID and safe error summary.</w:t>
      </w:r>
    </w:p>
    <w:p>
      <w:pPr>
        <w:pStyle w:val="ListBullet"/>
        <w:spacing w:after="40"/>
      </w:pPr>
      <w:r>
        <w:t>Cross-provider batches must support partial success: Google may succeed while Meta fails or is throttled. Do not report a single misleading all-or-nothing status.</w:t>
      </w:r>
    </w:p>
    <w:p>
      <w:pPr>
        <w:pStyle w:val="ListBullet"/>
        <w:spacing w:after="40"/>
      </w:pPr>
      <w:r>
        <w:t>Never include access tokens, refresh tokens, app secrets or sensitive request headers in logs or error payloads.</w:t>
      </w:r>
    </w:p>
    <w:p>
      <w:pPr>
        <w:pStyle w:val="Heading1"/>
      </w:pPr>
      <w:r>
        <w:t>4. What can be shared vs what should stay provider-specific</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rPr>
        <w:tc>
          <w:tcPr>
            <w:tcW w:type="dxa" w:w="2088"/>
            <w:vAlign w:val="center"/>
            <w:shd w:fill="154360"/>
          </w:tcPr>
          <w:p>
            <w:pPr>
              <w:spacing w:after="20" w:before="20"/>
            </w:pPr>
            <w:r/>
            <w:r>
              <w:rPr>
                <w:rFonts w:ascii="Aptos" w:hAnsi="Aptos"/>
                <w:b/>
                <w:color w:val="FFFFFF"/>
                <w:sz w:val="15"/>
              </w:rPr>
              <w:t>Product area</w:t>
            </w:r>
          </w:p>
        </w:tc>
        <w:tc>
          <w:tcPr>
            <w:tcW w:type="dxa" w:w="2952"/>
            <w:vAlign w:val="center"/>
            <w:shd w:fill="154360"/>
          </w:tcPr>
          <w:p>
            <w:pPr>
              <w:spacing w:after="20" w:before="20"/>
            </w:pPr>
            <w:r/>
            <w:r>
              <w:rPr>
                <w:rFonts w:ascii="Aptos" w:hAnsi="Aptos"/>
                <w:b/>
                <w:color w:val="FFFFFF"/>
                <w:sz w:val="15"/>
              </w:rPr>
              <w:t>Shared component</w:t>
            </w:r>
          </w:p>
        </w:tc>
        <w:tc>
          <w:tcPr>
            <w:tcW w:type="dxa" w:w="4608"/>
            <w:vAlign w:val="center"/>
            <w:shd w:fill="154360"/>
          </w:tcPr>
          <w:p>
            <w:pPr>
              <w:spacing w:after="20" w:before="20"/>
            </w:pPr>
            <w:r/>
            <w:r>
              <w:rPr>
                <w:rFonts w:ascii="Aptos" w:hAnsi="Aptos"/>
                <w:b/>
                <w:color w:val="FFFFFF"/>
                <w:sz w:val="15"/>
              </w:rPr>
              <w:t>Provider-specific boundary</w:t>
            </w:r>
          </w:p>
        </w:tc>
      </w:tr>
      <w:tr>
        <w:trPr>
          <w:cantSplit/>
        </w:trPr>
        <w:tc>
          <w:tcPr>
            <w:tcW w:type="dxa" w:w="2088"/>
            <w:vAlign w:val="center"/>
          </w:tcPr>
          <w:p>
            <w:pPr>
              <w:spacing w:after="20" w:before="20"/>
            </w:pPr>
            <w:r/>
            <w:r>
              <w:rPr>
                <w:rFonts w:ascii="Aptos" w:hAnsi="Aptos"/>
                <w:b w:val="0"/>
                <w:sz w:val="15"/>
              </w:rPr>
              <w:t>Navigation / workspaces</w:t>
            </w:r>
          </w:p>
        </w:tc>
        <w:tc>
          <w:tcPr>
            <w:tcW w:type="dxa" w:w="2952"/>
            <w:vAlign w:val="center"/>
          </w:tcPr>
          <w:p>
            <w:pPr>
              <w:spacing w:after="20" w:before="20"/>
            </w:pPr>
            <w:r/>
            <w:r>
              <w:rPr>
                <w:rFonts w:ascii="Aptos" w:hAnsi="Aptos"/>
                <w:b w:val="0"/>
                <w:sz w:val="15"/>
              </w:rPr>
              <w:t>Yes</w:t>
            </w:r>
          </w:p>
        </w:tc>
        <w:tc>
          <w:tcPr>
            <w:tcW w:type="dxa" w:w="4608"/>
            <w:vAlign w:val="center"/>
          </w:tcPr>
          <w:p>
            <w:pPr>
              <w:spacing w:after="20" w:before="20"/>
            </w:pPr>
            <w:r/>
            <w:r>
              <w:rPr>
                <w:rFonts w:ascii="Aptos" w:hAnsi="Aptos"/>
                <w:b w:val="0"/>
                <w:sz w:val="15"/>
              </w:rPr>
              <w:t>Provider connection and feature availability badges.</w:t>
            </w:r>
          </w:p>
        </w:tc>
      </w:tr>
      <w:tr>
        <w:trPr>
          <w:cantSplit/>
        </w:trPr>
        <w:tc>
          <w:tcPr>
            <w:tcW w:type="dxa" w:w="2088"/>
            <w:vAlign w:val="center"/>
            <w:shd w:fill="F2F6F8"/>
          </w:tcPr>
          <w:p>
            <w:pPr>
              <w:spacing w:after="20" w:before="20"/>
            </w:pPr>
            <w:r/>
            <w:r>
              <w:rPr>
                <w:rFonts w:ascii="Aptos" w:hAnsi="Aptos"/>
                <w:b w:val="0"/>
                <w:sz w:val="15"/>
              </w:rPr>
              <w:t>Account picker</w:t>
            </w:r>
          </w:p>
        </w:tc>
        <w:tc>
          <w:tcPr>
            <w:tcW w:type="dxa" w:w="2952"/>
            <w:vAlign w:val="center"/>
            <w:shd w:fill="F2F6F8"/>
          </w:tcPr>
          <w:p>
            <w:pPr>
              <w:spacing w:after="20" w:before="20"/>
            </w:pPr>
            <w:r/>
            <w:r>
              <w:rPr>
                <w:rFonts w:ascii="Aptos" w:hAnsi="Aptos"/>
                <w:b w:val="0"/>
                <w:sz w:val="15"/>
              </w:rPr>
              <w:t>Shared dropdown/table</w:t>
            </w:r>
          </w:p>
        </w:tc>
        <w:tc>
          <w:tcPr>
            <w:tcW w:type="dxa" w:w="4608"/>
            <w:vAlign w:val="center"/>
            <w:shd w:fill="F2F6F8"/>
          </w:tcPr>
          <w:p>
            <w:pPr>
              <w:spacing w:after="20" w:before="20"/>
            </w:pPr>
            <w:r/>
            <w:r>
              <w:rPr>
                <w:rFonts w:ascii="Aptos" w:hAnsi="Aptos"/>
                <w:b w:val="0"/>
                <w:sz w:val="15"/>
              </w:rPr>
              <w:t>Account discovery, permission checks, currency/timezone source.</w:t>
            </w:r>
          </w:p>
        </w:tc>
      </w:tr>
      <w:tr>
        <w:trPr>
          <w:cantSplit/>
        </w:trPr>
        <w:tc>
          <w:tcPr>
            <w:tcW w:type="dxa" w:w="2088"/>
            <w:vAlign w:val="center"/>
          </w:tcPr>
          <w:p>
            <w:pPr>
              <w:spacing w:after="20" w:before="20"/>
            </w:pPr>
            <w:r/>
            <w:r>
              <w:rPr>
                <w:rFonts w:ascii="Aptos" w:hAnsi="Aptos"/>
                <w:b w:val="0"/>
                <w:sz w:val="15"/>
              </w:rPr>
              <w:t>Campaign table</w:t>
            </w:r>
          </w:p>
        </w:tc>
        <w:tc>
          <w:tcPr>
            <w:tcW w:type="dxa" w:w="2952"/>
            <w:vAlign w:val="center"/>
          </w:tcPr>
          <w:p>
            <w:pPr>
              <w:spacing w:after="20" w:before="20"/>
            </w:pPr>
            <w:r/>
            <w:r>
              <w:rPr>
                <w:rFonts w:ascii="Aptos" w:hAnsi="Aptos"/>
                <w:b w:val="0"/>
                <w:sz w:val="15"/>
              </w:rPr>
              <w:t>Yes, normalized columns</w:t>
            </w:r>
          </w:p>
        </w:tc>
        <w:tc>
          <w:tcPr>
            <w:tcW w:type="dxa" w:w="4608"/>
            <w:vAlign w:val="center"/>
          </w:tcPr>
          <w:p>
            <w:pPr>
              <w:spacing w:after="20" w:before="20"/>
            </w:pPr>
            <w:r/>
            <w:r>
              <w:rPr>
                <w:rFonts w:ascii="Aptos" w:hAnsi="Aptos"/>
                <w:b w:val="0"/>
                <w:sz w:val="15"/>
              </w:rPr>
              <w:t>Native type/objective/status and budget representation.</w:t>
            </w:r>
          </w:p>
        </w:tc>
      </w:tr>
      <w:tr>
        <w:trPr>
          <w:cantSplit/>
        </w:trPr>
        <w:tc>
          <w:tcPr>
            <w:tcW w:type="dxa" w:w="2088"/>
            <w:vAlign w:val="center"/>
            <w:shd w:fill="F2F6F8"/>
          </w:tcPr>
          <w:p>
            <w:pPr>
              <w:spacing w:after="20" w:before="20"/>
            </w:pPr>
            <w:r/>
            <w:r>
              <w:rPr>
                <w:rFonts w:ascii="Aptos" w:hAnsi="Aptos"/>
                <w:b w:val="0"/>
                <w:sz w:val="15"/>
              </w:rPr>
              <w:t>Campaign create wizard</w:t>
            </w:r>
          </w:p>
        </w:tc>
        <w:tc>
          <w:tcPr>
            <w:tcW w:type="dxa" w:w="2952"/>
            <w:vAlign w:val="center"/>
            <w:shd w:fill="F2F6F8"/>
          </w:tcPr>
          <w:p>
            <w:pPr>
              <w:spacing w:after="20" w:before="20"/>
            </w:pPr>
            <w:r/>
            <w:r>
              <w:rPr>
                <w:rFonts w:ascii="Aptos" w:hAnsi="Aptos"/>
                <w:b w:val="0"/>
                <w:sz w:val="15"/>
              </w:rPr>
              <w:t>Shared shell and stepper</w:t>
            </w:r>
          </w:p>
        </w:tc>
        <w:tc>
          <w:tcPr>
            <w:tcW w:type="dxa" w:w="4608"/>
            <w:vAlign w:val="center"/>
            <w:shd w:fill="F2F6F8"/>
          </w:tcPr>
          <w:p>
            <w:pPr>
              <w:spacing w:after="20" w:before="20"/>
            </w:pPr>
            <w:r/>
            <w:r>
              <w:rPr>
                <w:rFonts w:ascii="Aptos" w:hAnsi="Aptos"/>
                <w:b w:val="0"/>
                <w:sz w:val="15"/>
              </w:rPr>
              <w:t>Separate platform-specific step schemas, validation and resource dependencies.</w:t>
            </w:r>
          </w:p>
        </w:tc>
      </w:tr>
      <w:tr>
        <w:trPr>
          <w:cantSplit/>
        </w:trPr>
        <w:tc>
          <w:tcPr>
            <w:tcW w:type="dxa" w:w="2088"/>
            <w:vAlign w:val="center"/>
          </w:tcPr>
          <w:p>
            <w:pPr>
              <w:spacing w:after="20" w:before="20"/>
            </w:pPr>
            <w:r/>
            <w:r>
              <w:rPr>
                <w:rFonts w:ascii="Aptos" w:hAnsi="Aptos"/>
                <w:b w:val="0"/>
                <w:sz w:val="15"/>
              </w:rPr>
              <w:t>Campaign/group/ad edits</w:t>
            </w:r>
          </w:p>
        </w:tc>
        <w:tc>
          <w:tcPr>
            <w:tcW w:type="dxa" w:w="2952"/>
            <w:vAlign w:val="center"/>
          </w:tcPr>
          <w:p>
            <w:pPr>
              <w:spacing w:after="20" w:before="20"/>
            </w:pPr>
            <w:r/>
            <w:r>
              <w:rPr>
                <w:rFonts w:ascii="Aptos" w:hAnsi="Aptos"/>
                <w:b w:val="0"/>
                <w:sz w:val="15"/>
              </w:rPr>
              <w:t>Shared interaction patterns</w:t>
            </w:r>
          </w:p>
        </w:tc>
        <w:tc>
          <w:tcPr>
            <w:tcW w:type="dxa" w:w="4608"/>
            <w:vAlign w:val="center"/>
          </w:tcPr>
          <w:p>
            <w:pPr>
              <w:spacing w:after="20" w:before="20"/>
            </w:pPr>
            <w:r/>
            <w:r>
              <w:rPr>
                <w:rFonts w:ascii="Aptos" w:hAnsi="Aptos"/>
                <w:b w:val="0"/>
                <w:sz w:val="15"/>
              </w:rPr>
              <w:t>Separate typed payloads and native API adapters.</w:t>
            </w:r>
          </w:p>
        </w:tc>
      </w:tr>
      <w:tr>
        <w:trPr>
          <w:cantSplit/>
        </w:trPr>
        <w:tc>
          <w:tcPr>
            <w:tcW w:type="dxa" w:w="2088"/>
            <w:vAlign w:val="center"/>
            <w:shd w:fill="F2F6F8"/>
          </w:tcPr>
          <w:p>
            <w:pPr>
              <w:spacing w:after="20" w:before="20"/>
            </w:pPr>
            <w:r/>
            <w:r>
              <w:rPr>
                <w:rFonts w:ascii="Aptos" w:hAnsi="Aptos"/>
                <w:b w:val="0"/>
                <w:sz w:val="15"/>
              </w:rPr>
              <w:t>Analytics charts</w:t>
            </w:r>
          </w:p>
        </w:tc>
        <w:tc>
          <w:tcPr>
            <w:tcW w:type="dxa" w:w="2952"/>
            <w:vAlign w:val="center"/>
            <w:shd w:fill="F2F6F8"/>
          </w:tcPr>
          <w:p>
            <w:pPr>
              <w:spacing w:after="20" w:before="20"/>
            </w:pPr>
            <w:r/>
            <w:r>
              <w:rPr>
                <w:rFonts w:ascii="Aptos" w:hAnsi="Aptos"/>
                <w:b w:val="0"/>
                <w:sz w:val="15"/>
              </w:rPr>
              <w:t>Shared charts and filters</w:t>
            </w:r>
          </w:p>
        </w:tc>
        <w:tc>
          <w:tcPr>
            <w:tcW w:type="dxa" w:w="4608"/>
            <w:vAlign w:val="center"/>
            <w:shd w:fill="F2F6F8"/>
          </w:tcPr>
          <w:p>
            <w:pPr>
              <w:spacing w:after="20" w:before="20"/>
            </w:pPr>
            <w:r/>
            <w:r>
              <w:rPr>
                <w:rFonts w:ascii="Aptos" w:hAnsi="Aptos"/>
                <w:b w:val="0"/>
                <w:sz w:val="15"/>
              </w:rPr>
              <w:t>Metric definitions, attribution, currency conversion policy, freshness and supported dimensions.</w:t>
            </w:r>
          </w:p>
        </w:tc>
      </w:tr>
      <w:tr>
        <w:trPr>
          <w:cantSplit/>
        </w:trPr>
        <w:tc>
          <w:tcPr>
            <w:tcW w:type="dxa" w:w="2088"/>
            <w:vAlign w:val="center"/>
          </w:tcPr>
          <w:p>
            <w:pPr>
              <w:spacing w:after="20" w:before="20"/>
            </w:pPr>
            <w:r/>
            <w:r>
              <w:rPr>
                <w:rFonts w:ascii="Aptos" w:hAnsi="Aptos"/>
                <w:b w:val="0"/>
                <w:sz w:val="15"/>
              </w:rPr>
              <w:t>Ad previews</w:t>
            </w:r>
          </w:p>
        </w:tc>
        <w:tc>
          <w:tcPr>
            <w:tcW w:type="dxa" w:w="2952"/>
            <w:vAlign w:val="center"/>
          </w:tcPr>
          <w:p>
            <w:pPr>
              <w:spacing w:after="20" w:before="20"/>
            </w:pPr>
            <w:r/>
            <w:r>
              <w:rPr>
                <w:rFonts w:ascii="Aptos" w:hAnsi="Aptos"/>
                <w:b w:val="0"/>
                <w:sz w:val="15"/>
              </w:rPr>
              <w:t>Shared preview frame</w:t>
            </w:r>
          </w:p>
        </w:tc>
        <w:tc>
          <w:tcPr>
            <w:tcW w:type="dxa" w:w="4608"/>
            <w:vAlign w:val="center"/>
          </w:tcPr>
          <w:p>
            <w:pPr>
              <w:spacing w:after="20" w:before="20"/>
            </w:pPr>
            <w:r/>
            <w:r>
              <w:rPr>
                <w:rFonts w:ascii="Aptos" w:hAnsi="Aptos"/>
                <w:b w:val="0"/>
                <w:sz w:val="15"/>
              </w:rPr>
              <w:t>Provider-specific renderer and supported creative formats.</w:t>
            </w:r>
          </w:p>
        </w:tc>
      </w:tr>
      <w:tr>
        <w:trPr>
          <w:cantSplit/>
        </w:trPr>
        <w:tc>
          <w:tcPr>
            <w:tcW w:type="dxa" w:w="2088"/>
            <w:vAlign w:val="center"/>
            <w:shd w:fill="F2F6F8"/>
          </w:tcPr>
          <w:p>
            <w:pPr>
              <w:spacing w:after="20" w:before="20"/>
            </w:pPr>
            <w:r/>
            <w:r>
              <w:rPr>
                <w:rFonts w:ascii="Aptos" w:hAnsi="Aptos"/>
                <w:b w:val="0"/>
                <w:sz w:val="15"/>
              </w:rPr>
              <w:t>Audience tools</w:t>
            </w:r>
          </w:p>
        </w:tc>
        <w:tc>
          <w:tcPr>
            <w:tcW w:type="dxa" w:w="2952"/>
            <w:vAlign w:val="center"/>
            <w:shd w:fill="F2F6F8"/>
          </w:tcPr>
          <w:p>
            <w:pPr>
              <w:spacing w:after="20" w:before="20"/>
            </w:pPr>
            <w:r/>
            <w:r>
              <w:rPr>
                <w:rFonts w:ascii="Aptos" w:hAnsi="Aptos"/>
                <w:b w:val="0"/>
                <w:sz w:val="15"/>
              </w:rPr>
              <w:t>Shared landing page</w:t>
            </w:r>
          </w:p>
        </w:tc>
        <w:tc>
          <w:tcPr>
            <w:tcW w:type="dxa" w:w="4608"/>
            <w:vAlign w:val="center"/>
            <w:shd w:fill="F2F6F8"/>
          </w:tcPr>
          <w:p>
            <w:pPr>
              <w:spacing w:after="20" w:before="20"/>
            </w:pPr>
            <w:r/>
            <w:r>
              <w:rPr>
                <w:rFonts w:ascii="Aptos" w:hAnsi="Aptos"/>
                <w:b w:val="0"/>
                <w:sz w:val="15"/>
              </w:rPr>
              <w:t>Separate models, eligibility, privacy and API operations.</w:t>
            </w:r>
          </w:p>
        </w:tc>
      </w:tr>
      <w:tr>
        <w:trPr>
          <w:cantSplit/>
        </w:trPr>
        <w:tc>
          <w:tcPr>
            <w:tcW w:type="dxa" w:w="2088"/>
            <w:vAlign w:val="center"/>
          </w:tcPr>
          <w:p>
            <w:pPr>
              <w:spacing w:after="20" w:before="20"/>
            </w:pPr>
            <w:r/>
            <w:r>
              <w:rPr>
                <w:rFonts w:ascii="Aptos" w:hAnsi="Aptos"/>
                <w:b w:val="0"/>
                <w:sz w:val="15"/>
              </w:rPr>
              <w:t>Conversions</w:t>
            </w:r>
          </w:p>
        </w:tc>
        <w:tc>
          <w:tcPr>
            <w:tcW w:type="dxa" w:w="2952"/>
            <w:vAlign w:val="center"/>
          </w:tcPr>
          <w:p>
            <w:pPr>
              <w:spacing w:after="20" w:before="20"/>
            </w:pPr>
            <w:r/>
            <w:r>
              <w:rPr>
                <w:rFonts w:ascii="Aptos" w:hAnsi="Aptos"/>
                <w:b w:val="0"/>
                <w:sz w:val="15"/>
              </w:rPr>
              <w:t>Shared navigation and summaries</w:t>
            </w:r>
          </w:p>
        </w:tc>
        <w:tc>
          <w:tcPr>
            <w:tcW w:type="dxa" w:w="4608"/>
            <w:vAlign w:val="center"/>
          </w:tcPr>
          <w:p>
            <w:pPr>
              <w:spacing w:after="20" w:before="20"/>
            </w:pPr>
            <w:r/>
            <w:r>
              <w:rPr>
                <w:rFonts w:ascii="Aptos" w:hAnsi="Aptos"/>
                <w:b w:val="0"/>
                <w:sz w:val="15"/>
              </w:rPr>
              <w:t>Different setup/event ingestion mechanisms.</w:t>
            </w:r>
          </w:p>
        </w:tc>
      </w:tr>
      <w:tr>
        <w:trPr>
          <w:cantSplit/>
        </w:trPr>
        <w:tc>
          <w:tcPr>
            <w:tcW w:type="dxa" w:w="2088"/>
            <w:vAlign w:val="center"/>
            <w:shd w:fill="F2F6F8"/>
          </w:tcPr>
          <w:p>
            <w:pPr>
              <w:spacing w:after="20" w:before="20"/>
            </w:pPr>
            <w:r/>
            <w:r>
              <w:rPr>
                <w:rFonts w:ascii="Aptos" w:hAnsi="Aptos"/>
                <w:b w:val="0"/>
                <w:sz w:val="15"/>
              </w:rPr>
              <w:t>Billing</w:t>
            </w:r>
          </w:p>
        </w:tc>
        <w:tc>
          <w:tcPr>
            <w:tcW w:type="dxa" w:w="2952"/>
            <w:vAlign w:val="center"/>
            <w:shd w:fill="F2F6F8"/>
          </w:tcPr>
          <w:p>
            <w:pPr>
              <w:spacing w:after="20" w:before="20"/>
            </w:pPr>
            <w:r/>
            <w:r>
              <w:rPr>
                <w:rFonts w:ascii="Aptos" w:hAnsi="Aptos"/>
                <w:b w:val="0"/>
                <w:sz w:val="15"/>
              </w:rPr>
              <w:t>Shared overview shell</w:t>
            </w:r>
          </w:p>
        </w:tc>
        <w:tc>
          <w:tcPr>
            <w:tcW w:type="dxa" w:w="4608"/>
            <w:vAlign w:val="center"/>
            <w:shd w:fill="F2F6F8"/>
          </w:tcPr>
          <w:p>
            <w:pPr>
              <w:spacing w:after="20" w:before="20"/>
            </w:pPr>
            <w:r/>
            <w:r>
              <w:rPr>
                <w:rFonts w:ascii="Aptos" w:hAnsi="Aptos"/>
                <w:b w:val="0"/>
                <w:sz w:val="15"/>
              </w:rPr>
              <w:t>Different billing records, available APIs and eligibility.</w:t>
            </w:r>
          </w:p>
        </w:tc>
      </w:tr>
      <w:tr>
        <w:trPr>
          <w:cantSplit/>
        </w:trPr>
        <w:tc>
          <w:tcPr>
            <w:tcW w:type="dxa" w:w="2088"/>
            <w:vAlign w:val="center"/>
          </w:tcPr>
          <w:p>
            <w:pPr>
              <w:spacing w:after="20" w:before="20"/>
            </w:pPr>
            <w:r/>
            <w:r>
              <w:rPr>
                <w:rFonts w:ascii="Aptos" w:hAnsi="Aptos"/>
                <w:b w:val="0"/>
                <w:sz w:val="15"/>
              </w:rPr>
              <w:t>Action execution</w:t>
            </w:r>
          </w:p>
        </w:tc>
        <w:tc>
          <w:tcPr>
            <w:tcW w:type="dxa" w:w="2952"/>
            <w:vAlign w:val="center"/>
          </w:tcPr>
          <w:p>
            <w:pPr>
              <w:spacing w:after="20" w:before="20"/>
            </w:pPr>
            <w:r/>
            <w:r>
              <w:rPr>
                <w:rFonts w:ascii="Aptos" w:hAnsi="Aptos"/>
                <w:b w:val="0"/>
                <w:sz w:val="15"/>
              </w:rPr>
              <w:t>Shared operation engine</w:t>
            </w:r>
          </w:p>
        </w:tc>
        <w:tc>
          <w:tcPr>
            <w:tcW w:type="dxa" w:w="4608"/>
            <w:vAlign w:val="center"/>
          </w:tcPr>
          <w:p>
            <w:pPr>
              <w:spacing w:after="20" w:before="20"/>
            </w:pPr>
            <w:r/>
            <w:r>
              <w:rPr>
                <w:rFonts w:ascii="Aptos" w:hAnsi="Aptos"/>
                <w:b w:val="0"/>
                <w:sz w:val="15"/>
              </w:rPr>
              <w:t>Provider adapter, retry semantics, validation and reconciliation.</w:t>
            </w:r>
          </w:p>
        </w:tc>
      </w:tr>
      <w:tr>
        <w:trPr>
          <w:cantSplit/>
        </w:trPr>
        <w:tc>
          <w:tcPr>
            <w:tcW w:type="dxa" w:w="2088"/>
            <w:vAlign w:val="center"/>
            <w:shd w:fill="F2F6F8"/>
          </w:tcPr>
          <w:p>
            <w:pPr>
              <w:spacing w:after="20" w:before="20"/>
            </w:pPr>
            <w:r/>
            <w:r>
              <w:rPr>
                <w:rFonts w:ascii="Aptos" w:hAnsi="Aptos"/>
                <w:b w:val="0"/>
                <w:sz w:val="15"/>
              </w:rPr>
              <w:t>Errors / logs</w:t>
            </w:r>
          </w:p>
        </w:tc>
        <w:tc>
          <w:tcPr>
            <w:tcW w:type="dxa" w:w="2952"/>
            <w:vAlign w:val="center"/>
            <w:shd w:fill="F2F6F8"/>
          </w:tcPr>
          <w:p>
            <w:pPr>
              <w:spacing w:after="20" w:before="20"/>
            </w:pPr>
            <w:r/>
            <w:r>
              <w:rPr>
                <w:rFonts w:ascii="Aptos" w:hAnsi="Aptos"/>
                <w:b w:val="0"/>
                <w:sz w:val="15"/>
              </w:rPr>
              <w:t>Shared format and UX</w:t>
            </w:r>
          </w:p>
        </w:tc>
        <w:tc>
          <w:tcPr>
            <w:tcW w:type="dxa" w:w="4608"/>
            <w:vAlign w:val="center"/>
            <w:shd w:fill="F2F6F8"/>
          </w:tcPr>
          <w:p>
            <w:pPr>
              <w:spacing w:after="20" w:before="20"/>
            </w:pPr>
            <w:r/>
            <w:r>
              <w:rPr>
                <w:rFonts w:ascii="Aptos" w:hAnsi="Aptos"/>
                <w:b w:val="0"/>
                <w:sz w:val="15"/>
              </w:rPr>
              <w:t>Native error code, provider request IDs and remediation guidance.</w:t>
            </w:r>
          </w:p>
        </w:tc>
      </w:tr>
    </w:tbl>
    <w:p>
      <w:pPr>
        <w:spacing w:after="0"/>
      </w:pPr>
    </w:p>
    <w:p>
      <w:pPr>
        <w:pStyle w:val="Heading1"/>
      </w:pPr>
      <w:r>
        <w:t>5. Suggested conceptual page structure</w:t>
      </w:r>
    </w:p>
    <w:p>
      <w:r>
        <w:t>Use a single React/TypeScript shell, with reusable tables, filter bars, date controls, status pills, confirmation dialogs, form sections and operation-result panels. Screens call your application API, not Google/Meta directly from the browser.</w:t>
      </w:r>
    </w:p>
    <w:p>
      <w:pPr>
        <w:pStyle w:val="ListBullet"/>
        <w:spacing w:after="40"/>
      </w:pPr>
      <w:r>
        <w:t>App shell: workspace selector, provider/account context, global date range, left navigation, profile/help menu.</w:t>
      </w:r>
    </w:p>
    <w:p>
      <w:pPr>
        <w:pStyle w:val="ListBullet"/>
        <w:spacing w:after="40"/>
      </w:pPr>
      <w:r>
        <w:t>Page layer: common page layout and UI primitives; provider-specific detail or form modules loaded only where relevant.</w:t>
      </w:r>
    </w:p>
    <w:p>
      <w:pPr>
        <w:pStyle w:val="ListBullet"/>
        <w:spacing w:after="40"/>
      </w:pPr>
      <w:r>
        <w:t>Domain layer: connection service, analytics/report service, campaign read service, action orchestration, audit service.</w:t>
      </w:r>
    </w:p>
    <w:p>
      <w:pPr>
        <w:pStyle w:val="ListBullet"/>
        <w:spacing w:after="40"/>
      </w:pPr>
      <w:r>
        <w:t>Provider adapters: Google Ads adapter and Meta Marketing API adapter, each owning OAuth/provider request formats, query builders, field mapping and error mapping.</w:t>
      </w:r>
    </w:p>
    <w:p>
      <w:pPr>
        <w:pStyle w:val="ListBullet"/>
        <w:spacing w:after="40"/>
      </w:pPr>
      <w:r>
        <w:t>Persistence: workspaces, memberships, provider connections, linked ad accounts, sync snapshots, operations/jobs and audit events.</w:t>
      </w:r>
    </w:p>
    <w:p>
      <w:pPr>
        <w:pStyle w:val="ListBullet"/>
        <w:spacing w:after="40"/>
      </w:pPr>
      <w:r>
        <w:t>Background workers: report sync, large report jobs, rate-limit retries, media processing and bulk operations.</w:t>
      </w:r>
    </w:p>
    <w:p>
      <w:pPr>
        <w:pStyle w:val="Heading1"/>
      </w:pPr>
      <w:r>
        <w:t>6. Capability model: avoid brittle if/else UI</w:t>
      </w:r>
    </w:p>
    <w:p>
      <w:r>
        <w:t>Each connected account should expose a capability profile based on provider, account, permissions, API access tier, resource type and current feature restrictions. The UI should use this profile to display available actions; the backend must re-check authorization and capability before execution.</w:t>
      </w:r>
    </w:p>
    <w:tbl>
      <w:tblPr>
        <w:tblStyle w:val="TableGrid"/>
        <w:tblW w:type="auto" w:w="0"/>
        <w:jc w:val="center"/>
        <w:tblLayout w:type="fixed"/>
        <w:tblLook w:firstColumn="1" w:firstRow="1" w:lastColumn="0" w:lastRow="0" w:noHBand="0" w:noVBand="1" w:val="04A0"/>
      </w:tblPr>
      <w:tblGrid>
        <w:gridCol w:w="5141"/>
        <w:gridCol w:w="5141"/>
      </w:tblGrid>
      <w:tr>
        <w:trPr>
          <w:cantSplit/>
        </w:trPr>
        <w:tc>
          <w:tcPr>
            <w:tcW w:type="dxa" w:w="3960"/>
            <w:vAlign w:val="center"/>
            <w:shd w:fill="154360"/>
          </w:tcPr>
          <w:p>
            <w:pPr>
              <w:spacing w:after="20" w:before="20"/>
            </w:pPr>
            <w:r/>
            <w:r>
              <w:rPr>
                <w:rFonts w:ascii="Aptos" w:hAnsi="Aptos"/>
                <w:b/>
                <w:color w:val="FFFFFF"/>
                <w:sz w:val="16"/>
              </w:rPr>
              <w:t>Capability example</w:t>
            </w:r>
          </w:p>
        </w:tc>
        <w:tc>
          <w:tcPr>
            <w:tcW w:type="dxa" w:w="5688"/>
            <w:vAlign w:val="center"/>
            <w:shd w:fill="154360"/>
          </w:tcPr>
          <w:p>
            <w:pPr>
              <w:spacing w:after="20" w:before="20"/>
            </w:pPr>
            <w:r/>
            <w:r>
              <w:rPr>
                <w:rFonts w:ascii="Aptos" w:hAnsi="Aptos"/>
                <w:b/>
                <w:color w:val="FFFFFF"/>
                <w:sz w:val="16"/>
              </w:rPr>
              <w:t>UI behavior</w:t>
            </w:r>
          </w:p>
        </w:tc>
      </w:tr>
      <w:tr>
        <w:trPr>
          <w:cantSplit/>
        </w:trPr>
        <w:tc>
          <w:tcPr>
            <w:tcW w:type="dxa" w:w="3960"/>
            <w:vAlign w:val="center"/>
          </w:tcPr>
          <w:p>
            <w:pPr>
              <w:spacing w:after="20" w:before="20"/>
            </w:pPr>
            <w:r/>
            <w:r>
              <w:rPr>
                <w:rFonts w:ascii="Aptos" w:hAnsi="Aptos"/>
                <w:b w:val="0"/>
                <w:sz w:val="16"/>
              </w:rPr>
              <w:t>campaign.pause supported</w:t>
            </w:r>
          </w:p>
        </w:tc>
        <w:tc>
          <w:tcPr>
            <w:tcW w:type="dxa" w:w="5688"/>
            <w:vAlign w:val="center"/>
          </w:tcPr>
          <w:p>
            <w:pPr>
              <w:spacing w:after="20" w:before="20"/>
            </w:pPr>
            <w:r/>
            <w:r>
              <w:rPr>
                <w:rFonts w:ascii="Aptos" w:hAnsi="Aptos"/>
                <w:b w:val="0"/>
                <w:sz w:val="16"/>
              </w:rPr>
              <w:t>Show pause action after backend confirms access.</w:t>
            </w:r>
          </w:p>
        </w:tc>
      </w:tr>
      <w:tr>
        <w:trPr>
          <w:cantSplit/>
        </w:trPr>
        <w:tc>
          <w:tcPr>
            <w:tcW w:type="dxa" w:w="3960"/>
            <w:vAlign w:val="center"/>
            <w:shd w:fill="F2F6F8"/>
          </w:tcPr>
          <w:p>
            <w:pPr>
              <w:spacing w:after="20" w:before="20"/>
            </w:pPr>
            <w:r/>
            <w:r>
              <w:rPr>
                <w:rFonts w:ascii="Aptos" w:hAnsi="Aptos"/>
                <w:b w:val="0"/>
                <w:sz w:val="16"/>
              </w:rPr>
              <w:t>budget.update unsupported for this campaign type</w:t>
            </w:r>
          </w:p>
        </w:tc>
        <w:tc>
          <w:tcPr>
            <w:tcW w:type="dxa" w:w="5688"/>
            <w:vAlign w:val="center"/>
            <w:shd w:fill="F2F6F8"/>
          </w:tcPr>
          <w:p>
            <w:pPr>
              <w:spacing w:after="20" w:before="20"/>
            </w:pPr>
            <w:r/>
            <w:r>
              <w:rPr>
                <w:rFonts w:ascii="Aptos" w:hAnsi="Aptos"/>
                <w:b w:val="0"/>
                <w:sz w:val="16"/>
              </w:rPr>
              <w:t>Hide or disable with a reason; never send a guessed field.</w:t>
            </w:r>
          </w:p>
        </w:tc>
      </w:tr>
      <w:tr>
        <w:trPr>
          <w:cantSplit/>
        </w:trPr>
        <w:tc>
          <w:tcPr>
            <w:tcW w:type="dxa" w:w="3960"/>
            <w:vAlign w:val="center"/>
          </w:tcPr>
          <w:p>
            <w:pPr>
              <w:spacing w:after="20" w:before="20"/>
            </w:pPr>
            <w:r/>
            <w:r>
              <w:rPr>
                <w:rFonts w:ascii="Aptos" w:hAnsi="Aptos"/>
                <w:b w:val="0"/>
                <w:sz w:val="16"/>
              </w:rPr>
              <w:t>insights.ad_level unavailable or incomplete</w:t>
            </w:r>
          </w:p>
        </w:tc>
        <w:tc>
          <w:tcPr>
            <w:tcW w:type="dxa" w:w="5688"/>
            <w:vAlign w:val="center"/>
          </w:tcPr>
          <w:p>
            <w:pPr>
              <w:spacing w:after="20" w:before="20"/>
            </w:pPr>
            <w:r/>
            <w:r>
              <w:rPr>
                <w:rFonts w:ascii="Aptos" w:hAnsi="Aptos"/>
                <w:b w:val="0"/>
                <w:sz w:val="16"/>
              </w:rPr>
              <w:t>Explain why and offer a supported level if possible.</w:t>
            </w:r>
          </w:p>
        </w:tc>
      </w:tr>
      <w:tr>
        <w:trPr>
          <w:cantSplit/>
        </w:trPr>
        <w:tc>
          <w:tcPr>
            <w:tcW w:type="dxa" w:w="3960"/>
            <w:vAlign w:val="center"/>
            <w:shd w:fill="F2F6F8"/>
          </w:tcPr>
          <w:p>
            <w:pPr>
              <w:spacing w:after="20" w:before="20"/>
            </w:pPr>
            <w:r/>
            <w:r>
              <w:rPr>
                <w:rFonts w:ascii="Aptos" w:hAnsi="Aptos"/>
                <w:b w:val="0"/>
                <w:sz w:val="16"/>
              </w:rPr>
              <w:t>billing.read restricted</w:t>
            </w:r>
          </w:p>
        </w:tc>
        <w:tc>
          <w:tcPr>
            <w:tcW w:type="dxa" w:w="5688"/>
            <w:vAlign w:val="center"/>
            <w:shd w:fill="F2F6F8"/>
          </w:tcPr>
          <w:p>
            <w:pPr>
              <w:spacing w:after="20" w:before="20"/>
            </w:pPr>
            <w:r/>
            <w:r>
              <w:rPr>
                <w:rFonts w:ascii="Aptos" w:hAnsi="Aptos"/>
                <w:b w:val="0"/>
                <w:sz w:val="16"/>
              </w:rPr>
              <w:t>Show “Not available for this account/API access” rather than an empty billing panel.</w:t>
            </w:r>
          </w:p>
        </w:tc>
      </w:tr>
      <w:tr>
        <w:trPr>
          <w:cantSplit/>
        </w:trPr>
        <w:tc>
          <w:tcPr>
            <w:tcW w:type="dxa" w:w="3960"/>
            <w:vAlign w:val="center"/>
          </w:tcPr>
          <w:p>
            <w:pPr>
              <w:spacing w:after="20" w:before="20"/>
            </w:pPr>
            <w:r/>
            <w:r>
              <w:rPr>
                <w:rFonts w:ascii="Aptos" w:hAnsi="Aptos"/>
                <w:b w:val="0"/>
                <w:sz w:val="16"/>
              </w:rPr>
              <w:t>connection permission expired/revoked</w:t>
            </w:r>
          </w:p>
        </w:tc>
        <w:tc>
          <w:tcPr>
            <w:tcW w:type="dxa" w:w="5688"/>
            <w:vAlign w:val="center"/>
          </w:tcPr>
          <w:p>
            <w:pPr>
              <w:spacing w:after="20" w:before="20"/>
            </w:pPr>
            <w:r/>
            <w:r>
              <w:rPr>
                <w:rFonts w:ascii="Aptos" w:hAnsi="Aptos"/>
                <w:b w:val="0"/>
                <w:sz w:val="16"/>
              </w:rPr>
              <w:t>Mark as needs reconnection and block writes; do not silently retry forever.</w:t>
            </w:r>
          </w:p>
        </w:tc>
      </w:tr>
    </w:tbl>
    <w:p>
      <w:pPr>
        <w:spacing w:after="0"/>
      </w:pPr>
    </w:p>
    <w:p>
      <w:pPr>
        <w:pStyle w:val="Heading1"/>
      </w:pPr>
      <w:r>
        <w:t>7. MVP sequence and go/no-go checks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rPr>
        <w:tc>
          <w:tcPr>
            <w:tcW w:type="dxa" w:w="1728"/>
            <w:vAlign w:val="center"/>
            <w:shd w:fill="154360"/>
          </w:tcPr>
          <w:p>
            <w:pPr>
              <w:spacing w:after="20" w:before="20"/>
            </w:pPr>
            <w:r/>
            <w:r>
              <w:rPr>
                <w:rFonts w:ascii="Aptos" w:hAnsi="Aptos"/>
                <w:b/>
                <w:color w:val="FFFFFF"/>
                <w:sz w:val="15"/>
              </w:rPr>
              <w:t>Phase</w:t>
            </w:r>
          </w:p>
        </w:tc>
        <w:tc>
          <w:tcPr>
            <w:tcW w:type="dxa" w:w="3816"/>
            <w:vAlign w:val="center"/>
            <w:shd w:fill="154360"/>
          </w:tcPr>
          <w:p>
            <w:pPr>
              <w:spacing w:after="20" w:before="20"/>
            </w:pPr>
            <w:r/>
            <w:r>
              <w:rPr>
                <w:rFonts w:ascii="Aptos" w:hAnsi="Aptos"/>
                <w:b/>
                <w:color w:val="FFFFFF"/>
                <w:sz w:val="15"/>
              </w:rPr>
              <w:t>Build</w:t>
            </w:r>
          </w:p>
        </w:tc>
        <w:tc>
          <w:tcPr>
            <w:tcW w:type="dxa" w:w="4104"/>
            <w:vAlign w:val="center"/>
            <w:shd w:fill="154360"/>
          </w:tcPr>
          <w:p>
            <w:pPr>
              <w:spacing w:after="20" w:before="20"/>
            </w:pPr>
            <w:r/>
            <w:r>
              <w:rPr>
                <w:rFonts w:ascii="Aptos" w:hAnsi="Aptos"/>
                <w:b/>
                <w:color w:val="FFFFFF"/>
                <w:sz w:val="15"/>
              </w:rPr>
              <w:t>Exit criteria</w:t>
            </w:r>
          </w:p>
        </w:tc>
      </w:tr>
      <w:tr>
        <w:trPr>
          <w:cantSplit/>
        </w:trPr>
        <w:tc>
          <w:tcPr>
            <w:tcW w:type="dxa" w:w="1728"/>
            <w:vAlign w:val="center"/>
          </w:tcPr>
          <w:p>
            <w:pPr>
              <w:spacing w:after="20" w:before="20"/>
            </w:pPr>
            <w:r/>
            <w:r>
              <w:rPr>
                <w:rFonts w:ascii="Aptos" w:hAnsi="Aptos"/>
                <w:b w:val="0"/>
                <w:sz w:val="15"/>
              </w:rPr>
              <w:t>0. Secure the learning projects</w:t>
            </w:r>
          </w:p>
        </w:tc>
        <w:tc>
          <w:tcPr>
            <w:tcW w:type="dxa" w:w="3816"/>
            <w:vAlign w:val="center"/>
          </w:tcPr>
          <w:p>
            <w:pPr>
              <w:spacing w:after="20" w:before="20"/>
            </w:pPr>
            <w:r/>
            <w:r>
              <w:rPr>
                <w:rFonts w:ascii="Aptos" w:hAnsi="Aptos"/>
                <w:b w:val="0"/>
                <w:sz w:val="15"/>
              </w:rPr>
              <w:t>Remove secret logging; rotate/revoke any genuinely exposed tokens; fix path/config issues; establish route smoke tests.</w:t>
            </w:r>
          </w:p>
        </w:tc>
        <w:tc>
          <w:tcPr>
            <w:tcW w:type="dxa" w:w="4104"/>
            <w:vAlign w:val="center"/>
          </w:tcPr>
          <w:p>
            <w:pPr>
              <w:spacing w:after="20" w:before="20"/>
            </w:pPr>
            <w:r/>
            <w:r>
              <w:rPr>
                <w:rFonts w:ascii="Aptos" w:hAnsi="Aptos"/>
                <w:b w:val="0"/>
                <w:sz w:val="15"/>
              </w:rPr>
              <w:t>No credentials in archive/logs; OAuth and configured account reads work repeatably.</w:t>
            </w:r>
          </w:p>
        </w:tc>
      </w:tr>
      <w:tr>
        <w:trPr>
          <w:cantSplit/>
        </w:trPr>
        <w:tc>
          <w:tcPr>
            <w:tcW w:type="dxa" w:w="1728"/>
            <w:vAlign w:val="center"/>
            <w:shd w:fill="F2F6F8"/>
          </w:tcPr>
          <w:p>
            <w:pPr>
              <w:spacing w:after="20" w:before="20"/>
            </w:pPr>
            <w:r/>
            <w:r>
              <w:rPr>
                <w:rFonts w:ascii="Aptos" w:hAnsi="Aptos"/>
                <w:b w:val="0"/>
                <w:sz w:val="15"/>
              </w:rPr>
              <w:t>1. SaaS foundation</w:t>
            </w:r>
          </w:p>
        </w:tc>
        <w:tc>
          <w:tcPr>
            <w:tcW w:type="dxa" w:w="3816"/>
            <w:vAlign w:val="center"/>
            <w:shd w:fill="F2F6F8"/>
          </w:tcPr>
          <w:p>
            <w:pPr>
              <w:spacing w:after="20" w:before="20"/>
            </w:pPr>
            <w:r/>
            <w:r>
              <w:rPr>
                <w:rFonts w:ascii="Aptos" w:hAnsi="Aptos"/>
                <w:b w:val="0"/>
                <w:sz w:val="15"/>
              </w:rPr>
              <w:t>App login, workspace, database, encrypted per-user/provider connection, account discovery and reconnect/disconnect.</w:t>
            </w:r>
          </w:p>
        </w:tc>
        <w:tc>
          <w:tcPr>
            <w:tcW w:type="dxa" w:w="4104"/>
            <w:vAlign w:val="center"/>
            <w:shd w:fill="F2F6F8"/>
          </w:tcPr>
          <w:p>
            <w:pPr>
              <w:spacing w:after="20" w:before="20"/>
            </w:pPr>
            <w:r/>
            <w:r>
              <w:rPr>
                <w:rFonts w:ascii="Aptos" w:hAnsi="Aptos"/>
                <w:b w:val="0"/>
                <w:sz w:val="15"/>
              </w:rPr>
              <w:t>Two users connect different accounts without seeing each other’s records or credentials.</w:t>
            </w:r>
          </w:p>
        </w:tc>
      </w:tr>
      <w:tr>
        <w:trPr>
          <w:cantSplit/>
        </w:trPr>
        <w:tc>
          <w:tcPr>
            <w:tcW w:type="dxa" w:w="1728"/>
            <w:vAlign w:val="center"/>
          </w:tcPr>
          <w:p>
            <w:pPr>
              <w:spacing w:after="20" w:before="20"/>
            </w:pPr>
            <w:r/>
            <w:r>
              <w:rPr>
                <w:rFonts w:ascii="Aptos" w:hAnsi="Aptos"/>
                <w:b w:val="0"/>
                <w:sz w:val="15"/>
              </w:rPr>
              <w:t>2. Unified read-only overview</w:t>
            </w:r>
          </w:p>
        </w:tc>
        <w:tc>
          <w:tcPr>
            <w:tcW w:type="dxa" w:w="3816"/>
            <w:vAlign w:val="center"/>
          </w:tcPr>
          <w:p>
            <w:pPr>
              <w:spacing w:after="20" w:before="20"/>
            </w:pPr>
            <w:r/>
            <w:r>
              <w:rPr>
                <w:rFonts w:ascii="Aptos" w:hAnsi="Aptos"/>
                <w:b w:val="0"/>
                <w:sz w:val="15"/>
              </w:rPr>
              <w:t>One campaign table + core metrics for Google and Meta, common filters, date range, basic CSV.</w:t>
            </w:r>
          </w:p>
        </w:tc>
        <w:tc>
          <w:tcPr>
            <w:tcW w:type="dxa" w:w="4104"/>
            <w:vAlign w:val="center"/>
          </w:tcPr>
          <w:p>
            <w:pPr>
              <w:spacing w:after="20" w:before="20"/>
            </w:pPr>
            <w:r/>
            <w:r>
              <w:rPr>
                <w:rFonts w:ascii="Aptos" w:hAnsi="Aptos"/>
                <w:b w:val="0"/>
                <w:sz w:val="15"/>
              </w:rPr>
              <w:t>Results reconciled against each platform UI for agreed test accounts/date ranges; currency/timezone/freshness visible.</w:t>
            </w:r>
          </w:p>
        </w:tc>
      </w:tr>
      <w:tr>
        <w:trPr>
          <w:cantSplit/>
        </w:trPr>
        <w:tc>
          <w:tcPr>
            <w:tcW w:type="dxa" w:w="1728"/>
            <w:vAlign w:val="center"/>
            <w:shd w:fill="F2F6F8"/>
          </w:tcPr>
          <w:p>
            <w:pPr>
              <w:spacing w:after="20" w:before="20"/>
            </w:pPr>
            <w:r/>
            <w:r>
              <w:rPr>
                <w:rFonts w:ascii="Aptos" w:hAnsi="Aptos"/>
                <w:b w:val="0"/>
                <w:sz w:val="15"/>
              </w:rPr>
              <w:t>3. Safe campaign actions</w:t>
            </w:r>
          </w:p>
        </w:tc>
        <w:tc>
          <w:tcPr>
            <w:tcW w:type="dxa" w:w="3816"/>
            <w:vAlign w:val="center"/>
            <w:shd w:fill="F2F6F8"/>
          </w:tcPr>
          <w:p>
            <w:pPr>
              <w:spacing w:after="20" w:before="20"/>
            </w:pPr>
            <w:r/>
            <w:r>
              <w:rPr>
                <w:rFonts w:ascii="Aptos" w:hAnsi="Aptos"/>
                <w:b w:val="0"/>
                <w:sz w:val="15"/>
              </w:rPr>
              <w:t>Pause/resume, preview/confirm, operation history, idempotency and read-back.</w:t>
            </w:r>
          </w:p>
        </w:tc>
        <w:tc>
          <w:tcPr>
            <w:tcW w:type="dxa" w:w="4104"/>
            <w:vAlign w:val="center"/>
            <w:shd w:fill="F2F6F8"/>
          </w:tcPr>
          <w:p>
            <w:pPr>
              <w:spacing w:after="20" w:before="20"/>
            </w:pPr>
            <w:r/>
            <w:r>
              <w:rPr>
                <w:rFonts w:ascii="Aptos" w:hAnsi="Aptos"/>
                <w:b w:val="0"/>
                <w:sz w:val="15"/>
              </w:rPr>
              <w:t>Cross-network actions accurately show success/failure independently; no duplicate execution on retries.</w:t>
            </w:r>
          </w:p>
        </w:tc>
      </w:tr>
      <w:tr>
        <w:trPr>
          <w:cantSplit/>
        </w:trPr>
        <w:tc>
          <w:tcPr>
            <w:tcW w:type="dxa" w:w="1728"/>
            <w:vAlign w:val="center"/>
          </w:tcPr>
          <w:p>
            <w:pPr>
              <w:spacing w:after="20" w:before="20"/>
            </w:pPr>
            <w:r/>
            <w:r>
              <w:rPr>
                <w:rFonts w:ascii="Aptos" w:hAnsi="Aptos"/>
                <w:b w:val="0"/>
                <w:sz w:val="15"/>
              </w:rPr>
              <w:t>4. Limited creation flows</w:t>
            </w:r>
          </w:p>
        </w:tc>
        <w:tc>
          <w:tcPr>
            <w:tcW w:type="dxa" w:w="3816"/>
            <w:vAlign w:val="center"/>
          </w:tcPr>
          <w:p>
            <w:pPr>
              <w:spacing w:after="20" w:before="20"/>
            </w:pPr>
            <w:r/>
            <w:r>
              <w:rPr>
                <w:rFonts w:ascii="Aptos" w:hAnsi="Aptos"/>
                <w:b w:val="0"/>
                <w:sz w:val="15"/>
              </w:rPr>
              <w:t>Google Search campaign and one agreed Meta campaign workflow. Start paused/draft where provider supports it.</w:t>
            </w:r>
          </w:p>
        </w:tc>
        <w:tc>
          <w:tcPr>
            <w:tcW w:type="dxa" w:w="4104"/>
            <w:vAlign w:val="center"/>
          </w:tcPr>
          <w:p>
            <w:pPr>
              <w:spacing w:after="20" w:before="20"/>
            </w:pPr>
            <w:r/>
            <w:r>
              <w:rPr>
                <w:rFonts w:ascii="Aptos" w:hAnsi="Aptos"/>
                <w:b w:val="0"/>
                <w:sz w:val="15"/>
              </w:rPr>
              <w:t>Parent/child resources are created, validated and re-read correctly; user confirms before activation.</w:t>
            </w:r>
          </w:p>
        </w:tc>
      </w:tr>
      <w:tr>
        <w:trPr>
          <w:cantSplit/>
        </w:trPr>
        <w:tc>
          <w:tcPr>
            <w:tcW w:type="dxa" w:w="1728"/>
            <w:vAlign w:val="center"/>
            <w:shd w:fill="F2F6F8"/>
          </w:tcPr>
          <w:p>
            <w:pPr>
              <w:spacing w:after="20" w:before="20"/>
            </w:pPr>
            <w:r/>
            <w:r>
              <w:rPr>
                <w:rFonts w:ascii="Aptos" w:hAnsi="Aptos"/>
                <w:b w:val="0"/>
                <w:sz w:val="15"/>
              </w:rPr>
              <w:t>5. Advanced provider modules</w:t>
            </w:r>
          </w:p>
        </w:tc>
        <w:tc>
          <w:tcPr>
            <w:tcW w:type="dxa" w:w="3816"/>
            <w:vAlign w:val="center"/>
            <w:shd w:fill="F2F6F8"/>
          </w:tcPr>
          <w:p>
            <w:pPr>
              <w:spacing w:after="20" w:before="20"/>
            </w:pPr>
            <w:r/>
            <w:r>
              <w:rPr>
                <w:rFonts w:ascii="Aptos" w:hAnsi="Aptos"/>
                <w:b w:val="0"/>
                <w:sz w:val="15"/>
              </w:rPr>
              <w:t>Targeting, audience/conversion setup, advanced formats, lead forms and billing where eligible.</w:t>
            </w:r>
          </w:p>
        </w:tc>
        <w:tc>
          <w:tcPr>
            <w:tcW w:type="dxa" w:w="4104"/>
            <w:vAlign w:val="center"/>
            <w:shd w:fill="F2F6F8"/>
          </w:tcPr>
          <w:p>
            <w:pPr>
              <w:spacing w:after="20" w:before="20"/>
            </w:pPr>
            <w:r/>
            <w:r>
              <w:rPr>
                <w:rFonts w:ascii="Aptos" w:hAnsi="Aptos"/>
                <w:b w:val="0"/>
                <w:sz w:val="15"/>
              </w:rPr>
              <w:t>Each module has an explicit feature/permission checklist and provider-specific acceptance tests.</w:t>
            </w:r>
          </w:p>
        </w:tc>
      </w:tr>
      <w:tr>
        <w:trPr>
          <w:cantSplit/>
        </w:trPr>
        <w:tc>
          <w:tcPr>
            <w:tcW w:type="dxa" w:w="1728"/>
            <w:vAlign w:val="center"/>
          </w:tcPr>
          <w:p>
            <w:pPr>
              <w:spacing w:after="20" w:before="20"/>
            </w:pPr>
            <w:r/>
            <w:r>
              <w:rPr>
                <w:rFonts w:ascii="Aptos" w:hAnsi="Aptos"/>
                <w:b w:val="0"/>
                <w:sz w:val="15"/>
              </w:rPr>
              <w:t>6. Growth</w:t>
            </w:r>
          </w:p>
        </w:tc>
        <w:tc>
          <w:tcPr>
            <w:tcW w:type="dxa" w:w="3816"/>
            <w:vAlign w:val="center"/>
          </w:tcPr>
          <w:p>
            <w:pPr>
              <w:spacing w:after="20" w:before="20"/>
            </w:pPr>
            <w:r/>
            <w:r>
              <w:rPr>
                <w:rFonts w:ascii="Aptos" w:hAnsi="Aptos"/>
                <w:b w:val="0"/>
                <w:sz w:val="15"/>
              </w:rPr>
              <w:t>Scheduling, automation, alerts, more networks, public API and AI-assisted actions.</w:t>
            </w:r>
          </w:p>
        </w:tc>
        <w:tc>
          <w:tcPr>
            <w:tcW w:type="dxa" w:w="4104"/>
            <w:vAlign w:val="center"/>
          </w:tcPr>
          <w:p>
            <w:pPr>
              <w:spacing w:after="20" w:before="20"/>
            </w:pPr>
            <w:r/>
            <w:r>
              <w:rPr>
                <w:rFonts w:ascii="Aptos" w:hAnsi="Aptos"/>
                <w:b w:val="0"/>
                <w:sz w:val="15"/>
              </w:rPr>
              <w:t>Security, monitoring, recovery, quotas and approvals are tested before enabling autonomous/large-scale actions.</w:t>
            </w:r>
          </w:p>
        </w:tc>
      </w:tr>
    </w:tbl>
    <w:p>
      <w:pPr>
        <w:spacing w:after="0"/>
      </w:pPr>
    </w:p>
    <w:p>
      <w:pPr>
        <w:pStyle w:val="Heading1"/>
      </w:pPr>
      <w:r>
        <w:t>8. Definition of done for every screen</w:t>
      </w:r>
    </w:p>
    <w:p>
      <w:pPr>
        <w:pStyle w:val="ListBullet"/>
        <w:spacing w:after="40"/>
      </w:pPr>
      <w:r>
        <w:t>Loading, empty, partial failure, permission denied, expired connection and stale-data states are designed and tested.</w:t>
      </w:r>
    </w:p>
    <w:p>
      <w:pPr>
        <w:pStyle w:val="ListBullet"/>
        <w:spacing w:after="40"/>
      </w:pPr>
      <w:r>
        <w:t>All values and metrics document provider origin, date range, currency/timezone and relevant definition/attribution metadata.</w:t>
      </w:r>
    </w:p>
    <w:p>
      <w:pPr>
        <w:pStyle w:val="ListBullet"/>
        <w:spacing w:after="40"/>
      </w:pPr>
      <w:r>
        <w:t>Every mutation is authenticated, tenant-authorized, schema-validated, capability-checked, confirmed when risky, audited and reconciled against provider state.</w:t>
      </w:r>
    </w:p>
    <w:p>
      <w:pPr>
        <w:pStyle w:val="ListBullet"/>
        <w:spacing w:after="40"/>
      </w:pPr>
      <w:r>
        <w:t>Pagination, rate limits, timeouts, retry/backoff and provider outage behavior are tested; UI never treats an empty response as proof of complete data.</w:t>
      </w:r>
    </w:p>
    <w:p>
      <w:pPr>
        <w:pStyle w:val="ListBullet"/>
        <w:spacing w:after="40"/>
      </w:pPr>
      <w:r>
        <w:t>Tokens and secrets never reach the frontend, URL, application logs, crash reports or exported operation summaries.</w:t>
      </w:r>
    </w:p>
    <w:p>
      <w:pPr>
        <w:pStyle w:val="ListBullet"/>
        <w:spacing w:after="40"/>
      </w:pPr>
      <w:r>
        <w:t>Accessibility, responsive layout, table loading performance and export correctness meet the project’s agreed standards.</w:t>
      </w:r>
    </w:p>
    <w:p>
      <w:pPr>
        <w:pStyle w:val="Heading1"/>
      </w:pPr>
      <w:r>
        <w:t>9. Decisions to lock before coding</w:t>
      </w:r>
    </w:p>
    <w:p>
      <w:pPr>
        <w:pStyle w:val="ListNumber"/>
        <w:spacing w:after="40"/>
      </w:pPr>
      <w:r>
        <w:t>Target buyer: solo advertiser, agency managing client accounts, or in-house marketing team. This controls workspace/team/client-account UX.</w:t>
      </w:r>
    </w:p>
    <w:p>
      <w:pPr>
        <w:pStyle w:val="ListNumber"/>
        <w:spacing w:after="40"/>
      </w:pPr>
      <w:r>
        <w:t>MVP reporting definitions: exact formulas and source for conversions, conversion value, ROAS, cost and currency treatment.</w:t>
      </w:r>
    </w:p>
    <w:p>
      <w:pPr>
        <w:pStyle w:val="ListNumber"/>
        <w:spacing w:after="40"/>
      </w:pPr>
      <w:r>
        <w:t>Action scope: whether the first write feature is pause/resume only, and whether campaign creation is included in the first release.</w:t>
      </w:r>
    </w:p>
    <w:p>
      <w:pPr>
        <w:pStyle w:val="ListNumber"/>
        <w:spacing w:after="40"/>
      </w:pPr>
      <w:r>
        <w:t>Supported account types and eligibility: which Google account access levels and Meta app permissions/access tiers will be supported at launch.</w:t>
      </w:r>
    </w:p>
    <w:p>
      <w:pPr>
        <w:pStyle w:val="ListNumber"/>
        <w:spacing w:after="40"/>
      </w:pPr>
      <w:r>
        <w:t>Data retention: what analytics snapshots are stored, for how long, and what is deleted on disconnect or workspace deletion.</w:t>
      </w:r>
    </w:p>
    <w:p>
      <w:pPr>
        <w:pStyle w:val="ListNumber"/>
        <w:spacing w:after="40"/>
      </w:pPr>
      <w:r>
        <w:t>Monetization: whether SaaS subscription billing is required for the MVP or can wait until customer validation.</w:t>
      </w:r>
    </w:p>
    <w:p>
      <w:pPr>
        <w:pStyle w:val="Heading1"/>
      </w:pPr>
      <w:r>
        <w:t>10. Official documentation starting points</w:t>
      </w:r>
    </w:p>
    <w:p>
      <w:r>
        <w:t>Use official documents for current endpoint support, permissions, policy, field compatibility, access levels and version changes. These links are starting points, not substitutes for a release-by-release verification before implementation.</w:t>
      </w:r>
    </w:p>
    <w:p>
      <w:pPr>
        <w:pStyle w:val="ListBullet"/>
        <w:spacing w:after="40"/>
      </w:pPr>
      <w:r>
        <w:rPr>
          <w:b/>
        </w:rPr>
        <w:t xml:space="preserve">Google Ads API overview: </w:t>
      </w:r>
      <w:r>
        <w:t>https://developers.google.com/google-ads/api/docs/get-started/introduction</w:t>
      </w:r>
    </w:p>
    <w:p>
      <w:pPr>
        <w:pStyle w:val="ListBullet"/>
        <w:spacing w:after="40"/>
      </w:pPr>
      <w:r>
        <w:rPr>
          <w:b/>
        </w:rPr>
        <w:t xml:space="preserve">Google Ads API access levels and permissible use: </w:t>
      </w:r>
      <w:r>
        <w:t>https://developers.google.com/google-ads/api/docs/api-policy/access-levels</w:t>
      </w:r>
    </w:p>
    <w:p>
      <w:pPr>
        <w:pStyle w:val="ListBullet"/>
        <w:spacing w:after="40"/>
      </w:pPr>
      <w:r>
        <w:rPr>
          <w:b/>
        </w:rPr>
        <w:t xml:space="preserve">Google Ads API release notes: </w:t>
      </w:r>
      <w:r>
        <w:t>https://developers.google.com/google-ads/api/docs/release-notes</w:t>
      </w:r>
    </w:p>
    <w:p>
      <w:pPr>
        <w:pStyle w:val="ListBullet"/>
        <w:spacing w:after="40"/>
      </w:pPr>
      <w:r>
        <w:rPr>
          <w:b/>
        </w:rPr>
        <w:t xml:space="preserve">Google Ads reporting and GAQL: </w:t>
      </w:r>
      <w:r>
        <w:t>https://developers.google.com/google-ads/api/docs/reporting/overview</w:t>
      </w:r>
    </w:p>
    <w:p>
      <w:pPr>
        <w:pStyle w:val="ListBullet"/>
        <w:spacing w:after="40"/>
      </w:pPr>
      <w:r>
        <w:rPr>
          <w:b/>
        </w:rPr>
        <w:t xml:space="preserve">Google Ads conversion management: </w:t>
      </w:r>
      <w:r>
        <w:t>https://developers.google.com/google-ads/api/docs/conversions/overview</w:t>
      </w:r>
    </w:p>
    <w:p>
      <w:pPr>
        <w:pStyle w:val="ListBullet"/>
        <w:spacing w:after="40"/>
      </w:pPr>
      <w:r>
        <w:rPr>
          <w:b/>
        </w:rPr>
        <w:t xml:space="preserve">Google Data Manager API: </w:t>
      </w:r>
      <w:r>
        <w:t>https://developers.google.com/data-manager/api/devguides</w:t>
      </w:r>
    </w:p>
    <w:p>
      <w:pPr>
        <w:pStyle w:val="ListBullet"/>
        <w:spacing w:after="40"/>
      </w:pPr>
      <w:r>
        <w:rPr>
          <w:b/>
        </w:rPr>
        <w:t xml:space="preserve">Meta Marketing API overview: </w:t>
      </w:r>
      <w:r>
        <w:t>https://developers.facebook.com/docs/marketing-api/</w:t>
      </w:r>
    </w:p>
    <w:p>
      <w:pPr>
        <w:pStyle w:val="ListBullet"/>
        <w:spacing w:after="40"/>
      </w:pPr>
      <w:r>
        <w:rPr>
          <w:b/>
        </w:rPr>
        <w:t xml:space="preserve">Meta official Marketing API Postman collection: </w:t>
      </w:r>
      <w:r>
        <w:t>https://www.postman.com/meta/facebook-marketing-api/overview</w:t>
      </w:r>
    </w:p>
    <w:p>
      <w:pPr>
        <w:spacing w:before="160"/>
      </w:pPr>
      <w:r>
        <w:rPr>
          <w:b/>
          <w:color w:val="14415F"/>
        </w:rPr>
        <w:t xml:space="preserve">Recommendation: </w:t>
      </w:r>
      <w:r>
        <w:t>start with Connected Accounts, Overview, Campaigns, Reports (basic), and Activity/Diagnostics. Prove accurate read-only unification and tenant isolation first. Add safe pause/resume next; postpone every advanced campaign type and billing/audience ingestion until the capability model is reliable.</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 xml:space="preserve">Planning document • Google Ads + Meta Ads • 28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5A6E7D"/>
        <w:sz w:val="16"/>
      </w:rPr>
      <w:t>UNIFIED ADS MANAGEMENT PLATFORM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4415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95F82"/>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95F8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42D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Ads Management Platform - Screen-by-Screen Product Blueprint</dc:title>
  <dc:subject>Shared and provider-specific UI and implementation planning for Google Ads and Meta Ads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