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ptos Display" w:hAnsi="Aptos Display"/>
          <w:b/>
          <w:color w:val="17365D"/>
          <w:sz w:val="62"/>
        </w:rPr>
        <w:t>UNIFIED ADS</w:t>
        <w:br/>
        <w:t>MANAGEMENT PLATFORM</w:t>
      </w:r>
    </w:p>
    <w:p>
      <w:pPr>
        <w:spacing w:before="160"/>
      </w:pPr>
      <w:r>
        <w:rPr>
          <w:color w:val="1F4E79"/>
          <w:sz w:val="36"/>
        </w:rPr>
        <w:t>ZIP Code Audit &amp; Research-Backed Feature Gap Analysis</w:t>
      </w:r>
    </w:p>
    <w:p>
      <w:pPr>
        <w:spacing w:before="240"/>
      </w:pPr>
      <w:r>
        <w:rPr>
          <w:b/>
          <w:sz w:val="24"/>
        </w:rPr>
        <w:t>Google Ads + Meta Ads  |  Node.js + TypeScript + Express</w:t>
      </w:r>
    </w:p>
    <w:p>
      <w:pPr>
        <w:spacing w:before="400"/>
      </w:pPr>
      <w:r>
        <w:rPr>
          <w:color w:val="5B6573"/>
          <w:sz w:val="20"/>
        </w:rPr>
        <w:t>Prepared: 28 October 2026</w:t>
        <w:br/>
        <w:t>Audit scope: adsAMagementPlatformAPI(1).zip and the relevant project roadmaps included in that archive.</w:t>
      </w:r>
    </w:p>
    <w:p>
      <w:r>
        <w:br/>
      </w:r>
    </w:p>
    <w:tbl>
      <w:tblPr>
        <w:tblW w:type="auto" w:w="0"/>
        <w:jc w:val="center"/>
        <w:tblLook w:firstColumn="1" w:firstRow="1" w:lastColumn="0" w:lastRow="0" w:noHBand="0" w:noVBand="1" w:val="04A0"/>
      </w:tblPr>
      <w:tblGrid>
        <w:gridCol w:w="10282"/>
      </w:tblGrid>
      <w:tr>
        <w:tc>
          <w:tcPr>
            <w:tcW w:type="dxa" w:w="10282"/>
            <w:shd w:fill="DDEBF7"/>
            <w:tcMar>
              <w:top w:w="130" w:type="dxa"/>
              <w:start w:w="160" w:type="dxa"/>
              <w:bottom w:w="130" w:type="dxa"/>
              <w:end w:w="160" w:type="dxa"/>
            </w:tcMar>
          </w:tcPr>
          <w:p>
            <w:pPr>
              <w:spacing w:after="40"/>
            </w:pPr>
            <w:r>
              <w:rPr>
                <w:b/>
                <w:color w:val="17365D"/>
                <w:sz w:val="22"/>
              </w:rPr>
              <w:t>Executive answer</w:t>
              <w:br/>
            </w:r>
            <w:r>
              <w:rPr>
                <w:sz w:val="18"/>
              </w:rPr>
              <w:t>YES — the unified advertising platform is technically feasible. Your ZIP already contains a substantial amount of provider-specific learning code. It is not yet a unified SaaS or a verified production implementation. The largest gaps are multi-tenant identity and credential storage, cross-platform data normalization, missing targeting/audience/conversion modules, provider access approvals, reliability, and automated testing.</w:t>
            </w:r>
          </w:p>
        </w:tc>
      </w:tr>
    </w:tbl>
    <w:p>
      <w:pPr>
        <w:spacing w:after="20"/>
      </w:pPr>
    </w:p>
    <w:p>
      <w:r>
        <w:t>This report is an architecture and feasibility study, not a live API test or a security certification. No source files were modified during this review. Secrets and token values are intentionally not reproduced.</w:t>
      </w:r>
    </w:p>
    <w:p>
      <w:r>
        <w:br w:type="page"/>
      </w:r>
    </w:p>
    <w:p>
      <w:pPr>
        <w:pStyle w:val="Heading1"/>
      </w:pPr>
      <w:r>
        <w:t>1. Executive summary</w:t>
      </w:r>
    </w:p>
    <w:p>
      <w:r>
        <w:t>The supplied ZIP contains two separate backend learning projects. Google Ads is further along in reporting and Search-campaign operations. Meta covers the core Campaign → Ad Set → Ad flow, initial creative/media work, and Insights routes. The projects are not yet connected by a common application layer.</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7365D"/>
            <w:vAlign w:val="center"/>
            <w:tcMar>
              <w:top w:w="70" w:type="dxa"/>
              <w:start w:w="90" w:type="dxa"/>
              <w:bottom w:w="70" w:type="dxa"/>
              <w:end w:w="90" w:type="dxa"/>
            </w:tcMar>
          </w:tcPr>
          <w:p>
            <w:pPr>
              <w:spacing w:after="0"/>
            </w:pPr>
            <w:r>
              <w:rPr>
                <w:b/>
                <w:color w:val="FFFFFF"/>
                <w:sz w:val="16"/>
              </w:rPr>
              <w:t>Finding</w:t>
            </w:r>
          </w:p>
        </w:tc>
        <w:tc>
          <w:tcPr>
            <w:tcW w:type="dxa" w:w="3672"/>
            <w:shd w:fill="17365D"/>
            <w:vAlign w:val="center"/>
            <w:tcMar>
              <w:top w:w="70" w:type="dxa"/>
              <w:start w:w="90" w:type="dxa"/>
              <w:bottom w:w="70" w:type="dxa"/>
              <w:end w:w="90" w:type="dxa"/>
            </w:tcMar>
          </w:tcPr>
          <w:p>
            <w:pPr>
              <w:spacing w:after="0"/>
            </w:pPr>
            <w:r>
              <w:rPr>
                <w:b/>
                <w:color w:val="FFFFFF"/>
                <w:sz w:val="16"/>
              </w:rPr>
              <w:t>What the ZIP shows</w:t>
            </w:r>
          </w:p>
        </w:tc>
        <w:tc>
          <w:tcPr>
            <w:tcW w:type="dxa" w:w="3672"/>
            <w:shd w:fill="17365D"/>
            <w:vAlign w:val="center"/>
            <w:tcMar>
              <w:top w:w="70" w:type="dxa"/>
              <w:start w:w="90" w:type="dxa"/>
              <w:bottom w:w="70" w:type="dxa"/>
              <w:end w:w="90" w:type="dxa"/>
            </w:tcMar>
          </w:tcPr>
          <w:p>
            <w:pPr>
              <w:spacing w:after="0"/>
            </w:pPr>
            <w:r>
              <w:rPr>
                <w:b/>
                <w:color w:val="FFFFFF"/>
                <w:sz w:val="16"/>
              </w:rPr>
              <w:t>Implication</w:t>
            </w:r>
          </w:p>
        </w:tc>
      </w:tr>
      <w:tr>
        <w:trPr>
          <w:cantSplit/>
        </w:trPr>
        <w:tc>
          <w:tcPr>
            <w:tcW w:type="dxa" w:w="1800"/>
            <w:vAlign w:val="top"/>
            <w:tcMar>
              <w:top w:w="70" w:type="dxa"/>
              <w:start w:w="90" w:type="dxa"/>
              <w:bottom w:w="70" w:type="dxa"/>
              <w:end w:w="90" w:type="dxa"/>
            </w:tcMar>
          </w:tcPr>
          <w:p>
            <w:pPr>
              <w:spacing w:after="20"/>
            </w:pPr>
            <w:r>
              <w:rPr>
                <w:rFonts w:ascii="Aptos" w:hAnsi="Aptos"/>
                <w:sz w:val="16"/>
              </w:rPr>
              <w:t>Google Ads API</w:t>
            </w:r>
          </w:p>
        </w:tc>
        <w:tc>
          <w:tcPr>
            <w:tcW w:type="dxa" w:w="3672"/>
            <w:vAlign w:val="top"/>
            <w:tcMar>
              <w:top w:w="70" w:type="dxa"/>
              <w:start w:w="90" w:type="dxa"/>
              <w:bottom w:w="70" w:type="dxa"/>
              <w:end w:w="90" w:type="dxa"/>
            </w:tcMar>
          </w:tcPr>
          <w:p>
            <w:pPr>
              <w:spacing w:after="20"/>
            </w:pPr>
            <w:r>
              <w:rPr>
                <w:rFonts w:ascii="Aptos" w:hAnsi="Aptos"/>
                <w:sz w:val="16"/>
              </w:rPr>
              <w:t>86 route-handler declarations by static inventory: approximately 59 account/management/media handlers plus 27 reporting handlers.</w:t>
            </w:r>
          </w:p>
        </w:tc>
        <w:tc>
          <w:tcPr>
            <w:tcW w:type="dxa" w:w="3672"/>
            <w:vAlign w:val="top"/>
            <w:tcMar>
              <w:top w:w="70" w:type="dxa"/>
              <w:start w:w="90" w:type="dxa"/>
              <w:bottom w:w="70" w:type="dxa"/>
              <w:end w:w="90" w:type="dxa"/>
            </w:tcMar>
          </w:tcPr>
          <w:p>
            <w:pPr>
              <w:spacing w:after="20"/>
            </w:pPr>
            <w:r>
              <w:rPr>
                <w:rFonts w:ascii="Aptos" w:hAnsi="Aptos"/>
                <w:sz w:val="16"/>
              </w:rPr>
              <w:t>Good source material for a Google adapter; endpoint count does not establish working or complete features.</w:t>
            </w:r>
          </w:p>
        </w:tc>
      </w:tr>
      <w:tr>
        <w:trPr>
          <w:cantSplit/>
        </w:trPr>
        <w:tc>
          <w:tcPr>
            <w:tcW w:type="dxa" w:w="1800"/>
            <w:vAlign w:val="top"/>
            <w:tcMar>
              <w:top w:w="70" w:type="dxa"/>
              <w:start w:w="90" w:type="dxa"/>
              <w:bottom w:w="70" w:type="dxa"/>
              <w:end w:w="90" w:type="dxa"/>
            </w:tcMar>
            <w:shd w:fill="F5F8FA"/>
          </w:tcPr>
          <w:p>
            <w:pPr>
              <w:spacing w:after="20"/>
            </w:pPr>
            <w:r>
              <w:rPr>
                <w:rFonts w:ascii="Aptos" w:hAnsi="Aptos"/>
                <w:sz w:val="16"/>
              </w:rPr>
              <w:t>Meta Marketing API</w:t>
            </w:r>
          </w:p>
        </w:tc>
        <w:tc>
          <w:tcPr>
            <w:tcW w:type="dxa" w:w="3672"/>
            <w:vAlign w:val="top"/>
            <w:tcMar>
              <w:top w:w="70" w:type="dxa"/>
              <w:start w:w="90" w:type="dxa"/>
              <w:bottom w:w="70" w:type="dxa"/>
              <w:end w:w="90" w:type="dxa"/>
            </w:tcMar>
            <w:shd w:fill="F5F8FA"/>
          </w:tcPr>
          <w:p>
            <w:pPr>
              <w:spacing w:after="20"/>
            </w:pPr>
            <w:r>
              <w:rPr>
                <w:rFonts w:ascii="Aptos" w:hAnsi="Aptos"/>
                <w:sz w:val="16"/>
              </w:rPr>
              <w:t>39 route-handler declarations covering OAuth, account discovery, Campaigns, Ad Sets, Ads/Creatives/media and Insights.</w:t>
            </w:r>
          </w:p>
        </w:tc>
        <w:tc>
          <w:tcPr>
            <w:tcW w:type="dxa" w:w="3672"/>
            <w:vAlign w:val="top"/>
            <w:tcMar>
              <w:top w:w="70" w:type="dxa"/>
              <w:start w:w="90" w:type="dxa"/>
              <w:bottom w:w="70" w:type="dxa"/>
              <w:end w:w="90" w:type="dxa"/>
            </w:tcMar>
            <w:shd w:fill="F5F8FA"/>
          </w:tcPr>
          <w:p>
            <w:pPr>
              <w:spacing w:after="20"/>
            </w:pPr>
            <w:r>
              <w:rPr>
                <w:rFonts w:ascii="Aptos" w:hAnsi="Aptos"/>
                <w:sz w:val="16"/>
              </w:rPr>
              <w:t>Good base for Meta integration; audiences, conversion events and several asset/billing workflows remain absent.</w:t>
            </w:r>
          </w:p>
        </w:tc>
      </w:tr>
      <w:tr>
        <w:trPr>
          <w:cantSplit/>
        </w:trPr>
        <w:tc>
          <w:tcPr>
            <w:tcW w:type="dxa" w:w="1800"/>
            <w:vAlign w:val="top"/>
            <w:tcMar>
              <w:top w:w="70" w:type="dxa"/>
              <w:start w:w="90" w:type="dxa"/>
              <w:bottom w:w="70" w:type="dxa"/>
              <w:end w:w="90" w:type="dxa"/>
            </w:tcMar>
          </w:tcPr>
          <w:p>
            <w:pPr>
              <w:spacing w:after="20"/>
            </w:pPr>
            <w:r>
              <w:rPr>
                <w:rFonts w:ascii="Aptos" w:hAnsi="Aptos"/>
                <w:sz w:val="16"/>
              </w:rPr>
              <w:t>Shared SaaS application</w:t>
            </w:r>
          </w:p>
        </w:tc>
        <w:tc>
          <w:tcPr>
            <w:tcW w:type="dxa" w:w="3672"/>
            <w:vAlign w:val="top"/>
            <w:tcMar>
              <w:top w:w="70" w:type="dxa"/>
              <w:start w:w="90" w:type="dxa"/>
              <w:bottom w:w="70" w:type="dxa"/>
              <w:end w:w="90" w:type="dxa"/>
            </w:tcMar>
          </w:tcPr>
          <w:p>
            <w:pPr>
              <w:spacing w:after="20"/>
            </w:pPr>
            <w:r>
              <w:rPr>
                <w:rFonts w:ascii="Aptos" w:hAnsi="Aptos"/>
                <w:sz w:val="16"/>
              </w:rPr>
              <w:t>No React frontend, database schema/migrations, ORM/repository layer, shared provider registry or cross-platform analytics service was found in the ZIP.</w:t>
            </w:r>
          </w:p>
        </w:tc>
        <w:tc>
          <w:tcPr>
            <w:tcW w:type="dxa" w:w="3672"/>
            <w:vAlign w:val="top"/>
            <w:tcMar>
              <w:top w:w="70" w:type="dxa"/>
              <w:start w:w="90" w:type="dxa"/>
              <w:bottom w:w="70" w:type="dxa"/>
              <w:end w:w="90" w:type="dxa"/>
            </w:tcMar>
          </w:tcPr>
          <w:p>
            <w:pPr>
              <w:spacing w:after="20"/>
            </w:pPr>
            <w:r>
              <w:rPr>
                <w:rFonts w:ascii="Aptos" w:hAnsi="Aptos"/>
                <w:sz w:val="16"/>
              </w:rPr>
              <w:t>Those are new product foundation modules, not small route additions.</w:t>
            </w:r>
          </w:p>
        </w:tc>
      </w:tr>
      <w:tr>
        <w:trPr>
          <w:cantSplit/>
        </w:trPr>
        <w:tc>
          <w:tcPr>
            <w:tcW w:type="dxa" w:w="1800"/>
            <w:vAlign w:val="top"/>
            <w:tcMar>
              <w:top w:w="70" w:type="dxa"/>
              <w:start w:w="90" w:type="dxa"/>
              <w:bottom w:w="70" w:type="dxa"/>
              <w:end w:w="90" w:type="dxa"/>
            </w:tcMar>
            <w:shd w:fill="F5F8FA"/>
          </w:tcPr>
          <w:p>
            <w:pPr>
              <w:spacing w:after="20"/>
            </w:pPr>
            <w:r>
              <w:rPr>
                <w:rFonts w:ascii="Aptos" w:hAnsi="Aptos"/>
                <w:sz w:val="16"/>
              </w:rPr>
              <w:t>Testing status</w:t>
            </w:r>
          </w:p>
        </w:tc>
        <w:tc>
          <w:tcPr>
            <w:tcW w:type="dxa" w:w="3672"/>
            <w:vAlign w:val="top"/>
            <w:tcMar>
              <w:top w:w="70" w:type="dxa"/>
              <w:start w:w="90" w:type="dxa"/>
              <w:bottom w:w="70" w:type="dxa"/>
              <w:end w:w="90" w:type="dxa"/>
            </w:tcMar>
            <w:shd w:fill="F5F8FA"/>
          </w:tcPr>
          <w:p>
            <w:pPr>
              <w:spacing w:after="20"/>
            </w:pPr>
            <w:r>
              <w:rPr>
                <w:rFonts w:ascii="Aptos" w:hAnsi="Aptos"/>
                <w:sz w:val="16"/>
              </w:rPr>
              <w:t>Google CHANGES.md says changes were type-checked with stubbed third-party types and were not run against Google Ads. Meta project test script is a placeholder; project documentation marks most endpoint flows unverified.</w:t>
            </w:r>
          </w:p>
        </w:tc>
        <w:tc>
          <w:tcPr>
            <w:tcW w:type="dxa" w:w="3672"/>
            <w:vAlign w:val="top"/>
            <w:tcMar>
              <w:top w:w="70" w:type="dxa"/>
              <w:start w:w="90" w:type="dxa"/>
              <w:bottom w:w="70" w:type="dxa"/>
              <w:end w:w="90" w:type="dxa"/>
            </w:tcMar>
            <w:shd w:fill="F5F8FA"/>
          </w:tcPr>
          <w:p>
            <w:pPr>
              <w:spacing w:after="20"/>
            </w:pPr>
            <w:r>
              <w:rPr>
                <w:rFonts w:ascii="Aptos" w:hAnsi="Aptos"/>
                <w:sz w:val="16"/>
              </w:rPr>
              <w:t>Treat most routes as BUILT/UNVERIFIED until tested against an authorized account and matched to the provider UI.</w:t>
            </w:r>
          </w:p>
        </w:tc>
      </w:tr>
      <w:tr>
        <w:trPr>
          <w:cantSplit/>
        </w:trPr>
        <w:tc>
          <w:tcPr>
            <w:tcW w:type="dxa" w:w="1800"/>
            <w:vAlign w:val="top"/>
            <w:tcMar>
              <w:top w:w="70" w:type="dxa"/>
              <w:start w:w="90" w:type="dxa"/>
              <w:bottom w:w="70" w:type="dxa"/>
              <w:end w:w="90" w:type="dxa"/>
            </w:tcMar>
          </w:tcPr>
          <w:p>
            <w:pPr>
              <w:spacing w:after="20"/>
            </w:pPr>
            <w:r>
              <w:rPr>
                <w:rFonts w:ascii="Aptos" w:hAnsi="Aptos"/>
                <w:sz w:val="16"/>
              </w:rPr>
              <w:t>Security posture</w:t>
            </w:r>
          </w:p>
        </w:tc>
        <w:tc>
          <w:tcPr>
            <w:tcW w:type="dxa" w:w="3672"/>
            <w:vAlign w:val="top"/>
            <w:tcMar>
              <w:top w:w="70" w:type="dxa"/>
              <w:start w:w="90" w:type="dxa"/>
              <w:bottom w:w="70" w:type="dxa"/>
              <w:end w:w="90" w:type="dxa"/>
            </w:tcMar>
          </w:tcPr>
          <w:p>
            <w:pPr>
              <w:spacing w:after="20"/>
            </w:pPr>
            <w:r>
              <w:rPr>
                <w:rFonts w:ascii="Aptos" w:hAnsi="Aptos"/>
                <w:sz w:val="16"/>
              </w:rPr>
              <w:t>Single-file token handling, token logging and lack of application-level tenant authorization are visible in the source.</w:t>
            </w:r>
          </w:p>
        </w:tc>
        <w:tc>
          <w:tcPr>
            <w:tcW w:type="dxa" w:w="3672"/>
            <w:vAlign w:val="top"/>
            <w:tcMar>
              <w:top w:w="70" w:type="dxa"/>
              <w:start w:w="90" w:type="dxa"/>
              <w:bottom w:w="70" w:type="dxa"/>
              <w:end w:w="90" w:type="dxa"/>
            </w:tcMar>
          </w:tcPr>
          <w:p>
            <w:pPr>
              <w:spacing w:after="20"/>
            </w:pPr>
            <w:r>
              <w:rPr>
                <w:rFonts w:ascii="Aptos" w:hAnsi="Aptos"/>
                <w:sz w:val="16"/>
              </w:rPr>
              <w:t>Do not expose these servers as a public SaaS before the P0 items in Section 6 are addressed.</w:t>
            </w:r>
          </w:p>
        </w:tc>
      </w:tr>
    </w:tbl>
    <w:p>
      <w:pPr>
        <w:spacing w:after="20"/>
      </w:pPr>
    </w:p>
    <w:tbl>
      <w:tblPr>
        <w:tblW w:type="auto" w:w="0"/>
        <w:jc w:val="center"/>
        <w:tblLook w:firstColumn="1" w:firstRow="1" w:lastColumn="0" w:lastRow="0" w:noHBand="0" w:noVBand="1" w:val="04A0"/>
      </w:tblPr>
      <w:tblGrid>
        <w:gridCol w:w="10282"/>
      </w:tblGrid>
      <w:tr>
        <w:tc>
          <w:tcPr>
            <w:tcW w:type="dxa" w:w="10282"/>
            <w:shd w:fill="FFF2CC"/>
            <w:tcMar>
              <w:top w:w="130" w:type="dxa"/>
              <w:start w:w="160" w:type="dxa"/>
              <w:bottom w:w="130" w:type="dxa"/>
              <w:end w:w="160" w:type="dxa"/>
            </w:tcMar>
          </w:tcPr>
          <w:p>
            <w:pPr>
              <w:spacing w:after="40"/>
            </w:pPr>
            <w:r>
              <w:rPr>
                <w:b/>
                <w:color w:val="17365D"/>
                <w:sz w:val="22"/>
              </w:rPr>
              <w:t>Important interpretation</w:t>
              <w:br/>
            </w:r>
            <w:r>
              <w:rPr>
                <w:sz w:val="18"/>
              </w:rPr>
              <w:t>“Route exists” means a handler appears in the source. It does not prove the API request is valid, the user has the required permission, the provider allows that action for the chosen account, or the result matches Ads Manager.</w:t>
            </w:r>
          </w:p>
        </w:tc>
      </w:tr>
    </w:tbl>
    <w:p>
      <w:pPr>
        <w:spacing w:after="20"/>
      </w:pPr>
    </w:p>
    <w:p>
      <w:pPr>
        <w:pStyle w:val="Heading1"/>
      </w:pPr>
      <w:r>
        <w:t>1.1 Audit method and confidence</w:t>
      </w:r>
    </w:p>
    <w:p>
      <w:pPr>
        <w:pStyle w:val="ListBullet"/>
        <w:spacing w:after="40"/>
      </w:pPr>
      <w:r>
        <w:t>Inspected the ZIP file tree, package manifests, Express route declarations, OAuth/token configuration, helper modules, Git ignore file and the included project roadmaps/master documents.</w:t>
      </w:r>
    </w:p>
    <w:p>
      <w:pPr>
        <w:pStyle w:val="ListBullet"/>
        <w:spacing w:after="40"/>
      </w:pPr>
      <w:r>
        <w:t>Compared feature scope and current access/version guidance with official Google Ads API and Meta developer documentation available on 28 October 2026.</w:t>
      </w:r>
    </w:p>
    <w:p>
      <w:pPr>
        <w:pStyle w:val="ListBullet"/>
        <w:spacing w:after="40"/>
      </w:pPr>
      <w:r>
        <w:t>Did not run npm install, typecheck, tests, OAuth flows, or live account mutations. No route was called and no file was modified.</w:t>
      </w:r>
    </w:p>
    <w:p>
      <w:pPr>
        <w:pStyle w:val="ListBullet"/>
        <w:spacing w:after="40"/>
      </w:pPr>
      <w:r>
        <w:t>Confidence is high for file/route presence and configuration findings; runtime correctness, provider permission, payload compatibility and live metric accuracy remain unverified.</w:t>
      </w:r>
    </w:p>
    <w:p>
      <w:r>
        <w:br w:type="page"/>
      </w:r>
    </w:p>
    <w:p>
      <w:pPr>
        <w:pStyle w:val="Heading1"/>
      </w:pPr>
      <w:r>
        <w:t>2. What is actually in the ZIP</w:t>
      </w:r>
    </w:p>
    <w:p>
      <w:pPr>
        <w:pStyle w:val="Heading1"/>
      </w:pPr>
      <w:r>
        <w:t>2.1 Google Ads project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56"/>
            <w:shd w:fill="17365D"/>
            <w:vAlign w:val="center"/>
            <w:tcMar>
              <w:top w:w="70" w:type="dxa"/>
              <w:start w:w="90" w:type="dxa"/>
              <w:bottom w:w="70" w:type="dxa"/>
              <w:end w:w="90" w:type="dxa"/>
            </w:tcMar>
          </w:tcPr>
          <w:p>
            <w:pPr>
              <w:spacing w:after="0"/>
            </w:pPr>
            <w:r>
              <w:rPr>
                <w:b/>
                <w:color w:val="FFFFFF"/>
                <w:sz w:val="16"/>
              </w:rPr>
              <w:t>Source area</w:t>
            </w:r>
          </w:p>
        </w:tc>
        <w:tc>
          <w:tcPr>
            <w:tcW w:type="dxa" w:w="3240"/>
            <w:shd w:fill="17365D"/>
            <w:vAlign w:val="center"/>
            <w:tcMar>
              <w:top w:w="70" w:type="dxa"/>
              <w:start w:w="90" w:type="dxa"/>
              <w:bottom w:w="70" w:type="dxa"/>
              <w:end w:w="90" w:type="dxa"/>
            </w:tcMar>
          </w:tcPr>
          <w:p>
            <w:pPr>
              <w:spacing w:after="0"/>
            </w:pPr>
            <w:r>
              <w:rPr>
                <w:b/>
                <w:color w:val="FFFFFF"/>
                <w:sz w:val="16"/>
              </w:rPr>
              <w:t>Files / route families</w:t>
            </w:r>
          </w:p>
        </w:tc>
        <w:tc>
          <w:tcPr>
            <w:tcW w:type="dxa" w:w="4248"/>
            <w:shd w:fill="17365D"/>
            <w:vAlign w:val="center"/>
            <w:tcMar>
              <w:top w:w="70" w:type="dxa"/>
              <w:start w:w="90" w:type="dxa"/>
              <w:bottom w:w="70" w:type="dxa"/>
              <w:end w:w="90" w:type="dxa"/>
            </w:tcMar>
          </w:tcPr>
          <w:p>
            <w:pPr>
              <w:spacing w:after="0"/>
            </w:pPr>
            <w:r>
              <w:rPr>
                <w:b/>
                <w:color w:val="FFFFFF"/>
                <w:sz w:val="16"/>
              </w:rPr>
              <w:t>What is represented</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OAuth/accounts</w:t>
            </w:r>
          </w:p>
        </w:tc>
        <w:tc>
          <w:tcPr>
            <w:tcW w:type="dxa" w:w="3240"/>
            <w:vAlign w:val="top"/>
            <w:tcMar>
              <w:top w:w="70" w:type="dxa"/>
              <w:start w:w="90" w:type="dxa"/>
              <w:bottom w:w="70" w:type="dxa"/>
              <w:end w:w="90" w:type="dxa"/>
            </w:tcMar>
          </w:tcPr>
          <w:p>
            <w:pPr>
              <w:spacing w:after="20"/>
            </w:pPr>
            <w:r>
              <w:rPr>
                <w:rFonts w:ascii="Aptos" w:hAnsi="Aptos"/>
                <w:sz w:val="16"/>
              </w:rPr>
              <w:t>src/routes/account.routes.ts; src/google_config.ts</w:t>
            </w:r>
          </w:p>
        </w:tc>
        <w:tc>
          <w:tcPr>
            <w:tcW w:type="dxa" w:w="4248"/>
            <w:vAlign w:val="top"/>
            <w:tcMar>
              <w:top w:w="70" w:type="dxa"/>
              <w:start w:w="90" w:type="dxa"/>
              <w:bottom w:w="70" w:type="dxa"/>
              <w:end w:w="90" w:type="dxa"/>
            </w:tcMar>
          </w:tcPr>
          <w:p>
            <w:pPr>
              <w:spacing w:after="20"/>
            </w:pPr>
            <w:r>
              <w:rPr>
                <w:rFonts w:ascii="Aptos" w:hAnsi="Aptos"/>
                <w:sz w:val="16"/>
              </w:rPr>
              <w:t>Google OAuth callback, accessible customer listing, separate YouTube OAuth/upload access.</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6"/>
              </w:rPr>
              <w:t>Campaigns + budgets</w:t>
            </w:r>
          </w:p>
        </w:tc>
        <w:tc>
          <w:tcPr>
            <w:tcW w:type="dxa" w:w="3240"/>
            <w:vAlign w:val="top"/>
            <w:tcMar>
              <w:top w:w="70" w:type="dxa"/>
              <w:start w:w="90" w:type="dxa"/>
              <w:bottom w:w="70" w:type="dxa"/>
              <w:end w:w="90" w:type="dxa"/>
            </w:tcMar>
            <w:shd w:fill="F5F8FA"/>
          </w:tcPr>
          <w:p>
            <w:pPr>
              <w:spacing w:after="20"/>
            </w:pPr>
            <w:r>
              <w:rPr>
                <w:rFonts w:ascii="Aptos" w:hAnsi="Aptos"/>
                <w:sz w:val="16"/>
              </w:rPr>
              <w:t>campaign.routes.ts; budget.routes.ts</w:t>
            </w:r>
          </w:p>
        </w:tc>
        <w:tc>
          <w:tcPr>
            <w:tcW w:type="dxa" w:w="4248"/>
            <w:vAlign w:val="top"/>
            <w:tcMar>
              <w:top w:w="70" w:type="dxa"/>
              <w:start w:w="90" w:type="dxa"/>
              <w:bottom w:w="70" w:type="dxa"/>
              <w:end w:w="90" w:type="dxa"/>
            </w:tcMar>
            <w:shd w:fill="F5F8FA"/>
          </w:tcPr>
          <w:p>
            <w:pPr>
              <w:spacing w:after="20"/>
            </w:pPr>
            <w:r>
              <w:rPr>
                <w:rFonts w:ascii="Aptos" w:hAnsi="Aptos"/>
                <w:sz w:val="16"/>
              </w:rPr>
              <w:t>Campaign setup options, create/list/rename/target-CPA-style operations, campaign budgets and assignments.</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Bidding</w:t>
            </w:r>
          </w:p>
        </w:tc>
        <w:tc>
          <w:tcPr>
            <w:tcW w:type="dxa" w:w="3240"/>
            <w:vAlign w:val="top"/>
            <w:tcMar>
              <w:top w:w="70" w:type="dxa"/>
              <w:start w:w="90" w:type="dxa"/>
              <w:bottom w:w="70" w:type="dxa"/>
              <w:end w:w="90" w:type="dxa"/>
            </w:tcMar>
          </w:tcPr>
          <w:p>
            <w:pPr>
              <w:spacing w:after="20"/>
            </w:pPr>
            <w:r>
              <w:rPr>
                <w:rFonts w:ascii="Aptos" w:hAnsi="Aptos"/>
                <w:sz w:val="16"/>
              </w:rPr>
              <w:t>bidding.routes.ts; bidding.helpers.ts</w:t>
            </w:r>
          </w:p>
        </w:tc>
        <w:tc>
          <w:tcPr>
            <w:tcW w:type="dxa" w:w="4248"/>
            <w:vAlign w:val="top"/>
            <w:tcMar>
              <w:top w:w="70" w:type="dxa"/>
              <w:start w:w="90" w:type="dxa"/>
              <w:bottom w:w="70" w:type="dxa"/>
              <w:end w:w="90" w:type="dxa"/>
            </w:tcMar>
          </w:tcPr>
          <w:p>
            <w:pPr>
              <w:spacing w:after="20"/>
            </w:pPr>
            <w:r>
              <w:rPr>
                <w:rFonts w:ascii="Aptos" w:hAnsi="Aptos"/>
                <w:sz w:val="16"/>
              </w:rPr>
              <w:t>Campaign-level bidding setup, multiple strategies and portfolio-strategy operations.</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6"/>
              </w:rPr>
              <w:t>Ad groups, keywords, ads</w:t>
            </w:r>
          </w:p>
        </w:tc>
        <w:tc>
          <w:tcPr>
            <w:tcW w:type="dxa" w:w="3240"/>
            <w:vAlign w:val="top"/>
            <w:tcMar>
              <w:top w:w="70" w:type="dxa"/>
              <w:start w:w="90" w:type="dxa"/>
              <w:bottom w:w="70" w:type="dxa"/>
              <w:end w:w="90" w:type="dxa"/>
            </w:tcMar>
            <w:shd w:fill="F5F8FA"/>
          </w:tcPr>
          <w:p>
            <w:pPr>
              <w:spacing w:after="20"/>
            </w:pPr>
            <w:r>
              <w:rPr>
                <w:rFonts w:ascii="Aptos" w:hAnsi="Aptos"/>
                <w:sz w:val="16"/>
              </w:rPr>
              <w:t>adsGroup.routes.ts; adRetrieval.routes.ts</w:t>
            </w:r>
          </w:p>
        </w:tc>
        <w:tc>
          <w:tcPr>
            <w:tcW w:type="dxa" w:w="4248"/>
            <w:vAlign w:val="top"/>
            <w:tcMar>
              <w:top w:w="70" w:type="dxa"/>
              <w:start w:w="90" w:type="dxa"/>
              <w:bottom w:w="70" w:type="dxa"/>
              <w:end w:w="90" w:type="dxa"/>
            </w:tcMar>
            <w:shd w:fill="F5F8FA"/>
          </w:tcPr>
          <w:p>
            <w:pPr>
              <w:spacing w:after="20"/>
            </w:pPr>
            <w:r>
              <w:rPr>
                <w:rFonts w:ascii="Aptos" w:hAnsi="Aptos"/>
                <w:sz w:val="16"/>
              </w:rPr>
              <w:t>Ad-group CRUD, keyword read/create/update/remove, responsive search ad creation/update/removal, ad retrieval and asset-level ad details.</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Assets and uploads</w:t>
            </w:r>
          </w:p>
        </w:tc>
        <w:tc>
          <w:tcPr>
            <w:tcW w:type="dxa" w:w="3240"/>
            <w:vAlign w:val="top"/>
            <w:tcMar>
              <w:top w:w="70" w:type="dxa"/>
              <w:start w:w="90" w:type="dxa"/>
              <w:bottom w:w="70" w:type="dxa"/>
              <w:end w:w="90" w:type="dxa"/>
            </w:tcMar>
          </w:tcPr>
          <w:p>
            <w:pPr>
              <w:spacing w:after="20"/>
            </w:pPr>
            <w:r>
              <w:rPr>
                <w:rFonts w:ascii="Aptos" w:hAnsi="Aptos"/>
                <w:sz w:val="16"/>
              </w:rPr>
              <w:t>assets.routes.ts</w:t>
            </w:r>
          </w:p>
        </w:tc>
        <w:tc>
          <w:tcPr>
            <w:tcW w:type="dxa" w:w="4248"/>
            <w:vAlign w:val="top"/>
            <w:tcMar>
              <w:top w:w="70" w:type="dxa"/>
              <w:start w:w="90" w:type="dxa"/>
              <w:bottom w:w="70" w:type="dxa"/>
              <w:end w:w="90" w:type="dxa"/>
            </w:tcMar>
          </w:tcPr>
          <w:p>
            <w:pPr>
              <w:spacing w:after="20"/>
            </w:pPr>
            <w:r>
              <w:rPr>
                <w:rFonts w:ascii="Aptos" w:hAnsi="Aptos"/>
                <w:sz w:val="16"/>
              </w:rPr>
              <w:t>Reusable assets, image/video uploads, YouTube upload workflow, asset-to-campaign/ad-group/asset-group associations.</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6"/>
              </w:rPr>
              <w:t>Reporting</w:t>
            </w:r>
          </w:p>
        </w:tc>
        <w:tc>
          <w:tcPr>
            <w:tcW w:type="dxa" w:w="3240"/>
            <w:vAlign w:val="top"/>
            <w:tcMar>
              <w:top w:w="70" w:type="dxa"/>
              <w:start w:w="90" w:type="dxa"/>
              <w:bottom w:w="70" w:type="dxa"/>
              <w:end w:w="90" w:type="dxa"/>
            </w:tcMar>
            <w:shd w:fill="F5F8FA"/>
          </w:tcPr>
          <w:p>
            <w:pPr>
              <w:spacing w:after="20"/>
            </w:pPr>
            <w:r>
              <w:rPr>
                <w:rFonts w:ascii="Aptos" w:hAnsi="Aptos"/>
                <w:sz w:val="16"/>
              </w:rPr>
              <w:t>campaign, ad-group/keyword, search-term and conversion route handlers</w:t>
            </w:r>
          </w:p>
        </w:tc>
        <w:tc>
          <w:tcPr>
            <w:tcW w:type="dxa" w:w="4248"/>
            <w:vAlign w:val="top"/>
            <w:tcMar>
              <w:top w:w="70" w:type="dxa"/>
              <w:start w:w="90" w:type="dxa"/>
              <w:bottom w:w="70" w:type="dxa"/>
              <w:end w:w="90" w:type="dxa"/>
            </w:tcMar>
            <w:shd w:fill="F5F8FA"/>
          </w:tcPr>
          <w:p>
            <w:pPr>
              <w:spacing w:after="20"/>
            </w:pPr>
            <w:r>
              <w:rPr>
                <w:rFonts w:ascii="Aptos" w:hAnsi="Aptos"/>
                <w:sz w:val="16"/>
              </w:rPr>
              <w:t>Campaign trends/comparisons/top reports, ad-group and keyword reports, search-term and negative-keyword candidate reports, conversion summaries/action reports.</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Common support</w:t>
            </w:r>
          </w:p>
        </w:tc>
        <w:tc>
          <w:tcPr>
            <w:tcW w:type="dxa" w:w="3240"/>
            <w:vAlign w:val="top"/>
            <w:tcMar>
              <w:top w:w="70" w:type="dxa"/>
              <w:start w:w="90" w:type="dxa"/>
              <w:bottom w:w="70" w:type="dxa"/>
              <w:end w:w="90" w:type="dxa"/>
            </w:tcMar>
          </w:tcPr>
          <w:p>
            <w:pPr>
              <w:spacing w:after="20"/>
            </w:pPr>
            <w:r>
              <w:rPr>
                <w:rFonts w:ascii="Aptos" w:hAnsi="Aptos"/>
                <w:sz w:val="16"/>
              </w:rPr>
              <w:t>helper/shared.ts; helper/filter.ts; helper/safety.ts</w:t>
            </w:r>
          </w:p>
        </w:tc>
        <w:tc>
          <w:tcPr>
            <w:tcW w:type="dxa" w:w="4248"/>
            <w:vAlign w:val="top"/>
            <w:tcMar>
              <w:top w:w="70" w:type="dxa"/>
              <w:start w:w="90" w:type="dxa"/>
              <w:bottom w:w="70" w:type="dxa"/>
              <w:end w:w="90" w:type="dxa"/>
            </w:tcMar>
          </w:tcPr>
          <w:p>
            <w:pPr>
              <w:spacing w:after="20"/>
            </w:pPr>
            <w:r>
              <w:rPr>
                <w:rFonts w:ascii="Aptos" w:hAnsi="Aptos"/>
                <w:sz w:val="16"/>
              </w:rPr>
              <w:t>GAQL escaping/validation helpers, request/config helpers and some mutation safety guards.</w:t>
            </w:r>
          </w:p>
        </w:tc>
      </w:tr>
    </w:tbl>
    <w:p>
      <w:pPr>
        <w:spacing w:after="20"/>
      </w:pPr>
    </w:p>
    <w:p>
      <w:pPr>
        <w:pStyle w:val="Heading1"/>
      </w:pPr>
      <w:r>
        <w:t>2.2 Meta Ads project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56"/>
            <w:shd w:fill="17365D"/>
            <w:vAlign w:val="center"/>
            <w:tcMar>
              <w:top w:w="70" w:type="dxa"/>
              <w:start w:w="90" w:type="dxa"/>
              <w:bottom w:w="70" w:type="dxa"/>
              <w:end w:w="90" w:type="dxa"/>
            </w:tcMar>
          </w:tcPr>
          <w:p>
            <w:pPr>
              <w:spacing w:after="0"/>
            </w:pPr>
            <w:r>
              <w:rPr>
                <w:b/>
                <w:color w:val="FFFFFF"/>
                <w:sz w:val="16"/>
              </w:rPr>
              <w:t>Source area</w:t>
            </w:r>
          </w:p>
        </w:tc>
        <w:tc>
          <w:tcPr>
            <w:tcW w:type="dxa" w:w="3240"/>
            <w:shd w:fill="17365D"/>
            <w:vAlign w:val="center"/>
            <w:tcMar>
              <w:top w:w="70" w:type="dxa"/>
              <w:start w:w="90" w:type="dxa"/>
              <w:bottom w:w="70" w:type="dxa"/>
              <w:end w:w="90" w:type="dxa"/>
            </w:tcMar>
          </w:tcPr>
          <w:p>
            <w:pPr>
              <w:spacing w:after="0"/>
            </w:pPr>
            <w:r>
              <w:rPr>
                <w:b/>
                <w:color w:val="FFFFFF"/>
                <w:sz w:val="16"/>
              </w:rPr>
              <w:t>Files / route families</w:t>
            </w:r>
          </w:p>
        </w:tc>
        <w:tc>
          <w:tcPr>
            <w:tcW w:type="dxa" w:w="4248"/>
            <w:shd w:fill="17365D"/>
            <w:vAlign w:val="center"/>
            <w:tcMar>
              <w:top w:w="70" w:type="dxa"/>
              <w:start w:w="90" w:type="dxa"/>
              <w:bottom w:w="70" w:type="dxa"/>
              <w:end w:w="90" w:type="dxa"/>
            </w:tcMar>
          </w:tcPr>
          <w:p>
            <w:pPr>
              <w:spacing w:after="0"/>
            </w:pPr>
            <w:r>
              <w:rPr>
                <w:b/>
                <w:color w:val="FFFFFF"/>
                <w:sz w:val="16"/>
              </w:rPr>
              <w:t>What is represented</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OAuth/accounts</w:t>
            </w:r>
          </w:p>
        </w:tc>
        <w:tc>
          <w:tcPr>
            <w:tcW w:type="dxa" w:w="3240"/>
            <w:vAlign w:val="top"/>
            <w:tcMar>
              <w:top w:w="70" w:type="dxa"/>
              <w:start w:w="90" w:type="dxa"/>
              <w:bottom w:w="70" w:type="dxa"/>
              <w:end w:w="90" w:type="dxa"/>
            </w:tcMar>
          </w:tcPr>
          <w:p>
            <w:pPr>
              <w:spacing w:after="20"/>
            </w:pPr>
            <w:r>
              <w:rPr>
                <w:rFonts w:ascii="Aptos" w:hAnsi="Aptos"/>
                <w:sz w:val="16"/>
              </w:rPr>
              <w:t>auth.routes.ts; meta.routes.ts; config.ts</w:t>
            </w:r>
          </w:p>
        </w:tc>
        <w:tc>
          <w:tcPr>
            <w:tcW w:type="dxa" w:w="4248"/>
            <w:vAlign w:val="top"/>
            <w:tcMar>
              <w:top w:w="70" w:type="dxa"/>
              <w:start w:w="90" w:type="dxa"/>
              <w:bottom w:w="70" w:type="dxa"/>
              <w:end w:w="90" w:type="dxa"/>
            </w:tcMar>
          </w:tcPr>
          <w:p>
            <w:pPr>
              <w:spacing w:after="20"/>
            </w:pPr>
            <w:r>
              <w:rPr>
                <w:rFonts w:ascii="Aptos" w:hAnsi="Aptos"/>
                <w:sz w:val="16"/>
              </w:rPr>
              <w:t>Meta OAuth/Business Login setup, ad-account listing and granted-permission listing.</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6"/>
              </w:rPr>
              <w:t>Campaigns</w:t>
            </w:r>
          </w:p>
        </w:tc>
        <w:tc>
          <w:tcPr>
            <w:tcW w:type="dxa" w:w="3240"/>
            <w:vAlign w:val="top"/>
            <w:tcMar>
              <w:top w:w="70" w:type="dxa"/>
              <w:start w:w="90" w:type="dxa"/>
              <w:bottom w:w="70" w:type="dxa"/>
              <w:end w:w="90" w:type="dxa"/>
            </w:tcMar>
            <w:shd w:fill="F5F8FA"/>
          </w:tcPr>
          <w:p>
            <w:pPr>
              <w:spacing w:after="20"/>
            </w:pPr>
            <w:r>
              <w:rPr>
                <w:rFonts w:ascii="Aptos" w:hAnsi="Aptos"/>
                <w:sz w:val="16"/>
              </w:rPr>
              <w:t>campaign.routes.ts</w:t>
            </w:r>
          </w:p>
        </w:tc>
        <w:tc>
          <w:tcPr>
            <w:tcW w:type="dxa" w:w="4248"/>
            <w:vAlign w:val="top"/>
            <w:tcMar>
              <w:top w:w="70" w:type="dxa"/>
              <w:start w:w="90" w:type="dxa"/>
              <w:bottom w:w="70" w:type="dxa"/>
              <w:end w:w="90" w:type="dxa"/>
            </w:tcMar>
            <w:shd w:fill="F5F8FA"/>
          </w:tcPr>
          <w:p>
            <w:pPr>
              <w:spacing w:after="20"/>
            </w:pPr>
            <w:r>
              <w:rPr>
                <w:rFonts w:ascii="Aptos" w:hAnsi="Aptos"/>
                <w:sz w:val="16"/>
              </w:rPr>
              <w:t>Campaign listing, creation, update, status and deletion.</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Ad Sets</w:t>
            </w:r>
          </w:p>
        </w:tc>
        <w:tc>
          <w:tcPr>
            <w:tcW w:type="dxa" w:w="3240"/>
            <w:vAlign w:val="top"/>
            <w:tcMar>
              <w:top w:w="70" w:type="dxa"/>
              <w:start w:w="90" w:type="dxa"/>
              <w:bottom w:w="70" w:type="dxa"/>
              <w:end w:w="90" w:type="dxa"/>
            </w:tcMar>
          </w:tcPr>
          <w:p>
            <w:pPr>
              <w:spacing w:after="20"/>
            </w:pPr>
            <w:r>
              <w:rPr>
                <w:rFonts w:ascii="Aptos" w:hAnsi="Aptos"/>
                <w:sz w:val="16"/>
              </w:rPr>
              <w:t>adset.routes.ts; adset-configuration.routes.ts</w:t>
            </w:r>
          </w:p>
        </w:tc>
        <w:tc>
          <w:tcPr>
            <w:tcW w:type="dxa" w:w="4248"/>
            <w:vAlign w:val="top"/>
            <w:tcMar>
              <w:top w:w="70" w:type="dxa"/>
              <w:start w:w="90" w:type="dxa"/>
              <w:bottom w:w="70" w:type="dxa"/>
              <w:end w:w="90" w:type="dxa"/>
            </w:tcMar>
          </w:tcPr>
          <w:p>
            <w:pPr>
              <w:spacing w:after="20"/>
            </w:pPr>
            <w:r>
              <w:rPr>
                <w:rFonts w:ascii="Aptos" w:hAnsi="Aptos"/>
                <w:sz w:val="16"/>
              </w:rPr>
              <w:t>Ad Set listing/creation, edits, status, budget, targeting update and configuration retrieval.</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6"/>
              </w:rPr>
              <w:t>Bidding/configuration</w:t>
            </w:r>
          </w:p>
        </w:tc>
        <w:tc>
          <w:tcPr>
            <w:tcW w:type="dxa" w:w="3240"/>
            <w:vAlign w:val="top"/>
            <w:tcMar>
              <w:top w:w="70" w:type="dxa"/>
              <w:start w:w="90" w:type="dxa"/>
              <w:bottom w:w="70" w:type="dxa"/>
              <w:end w:w="90" w:type="dxa"/>
            </w:tcMar>
            <w:shd w:fill="F5F8FA"/>
          </w:tcPr>
          <w:p>
            <w:pPr>
              <w:spacing w:after="20"/>
            </w:pPr>
            <w:r>
              <w:rPr>
                <w:rFonts w:ascii="Aptos" w:hAnsi="Aptos"/>
                <w:sz w:val="16"/>
              </w:rPr>
              <w:t>bidding.routes.ts; performance-goal.routes.ts; billing-event.routes.ts</w:t>
            </w:r>
          </w:p>
        </w:tc>
        <w:tc>
          <w:tcPr>
            <w:tcW w:type="dxa" w:w="4248"/>
            <w:vAlign w:val="top"/>
            <w:tcMar>
              <w:top w:w="70" w:type="dxa"/>
              <w:start w:w="90" w:type="dxa"/>
              <w:bottom w:w="70" w:type="dxa"/>
              <w:end w:w="90" w:type="dxa"/>
            </w:tcMar>
            <w:shd w:fill="F5F8FA"/>
          </w:tcPr>
          <w:p>
            <w:pPr>
              <w:spacing w:after="20"/>
            </w:pPr>
            <w:r>
              <w:rPr>
                <w:rFonts w:ascii="Aptos" w:hAnsi="Aptos"/>
                <w:sz w:val="16"/>
              </w:rPr>
              <w:t>Bidding strategy, optimization goal and billing-event settings.</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Ads and creative</w:t>
            </w:r>
          </w:p>
        </w:tc>
        <w:tc>
          <w:tcPr>
            <w:tcW w:type="dxa" w:w="3240"/>
            <w:vAlign w:val="top"/>
            <w:tcMar>
              <w:top w:w="70" w:type="dxa"/>
              <w:start w:w="90" w:type="dxa"/>
              <w:bottom w:w="70" w:type="dxa"/>
              <w:end w:w="90" w:type="dxa"/>
            </w:tcMar>
          </w:tcPr>
          <w:p>
            <w:pPr>
              <w:spacing w:after="20"/>
            </w:pPr>
            <w:r>
              <w:rPr>
                <w:rFonts w:ascii="Aptos" w:hAnsi="Aptos"/>
                <w:sz w:val="16"/>
              </w:rPr>
              <w:t>ad.routes.ts; adcreatives.routes.ts</w:t>
            </w:r>
          </w:p>
        </w:tc>
        <w:tc>
          <w:tcPr>
            <w:tcW w:type="dxa" w:w="4248"/>
            <w:vAlign w:val="top"/>
            <w:tcMar>
              <w:top w:w="70" w:type="dxa"/>
              <w:start w:w="90" w:type="dxa"/>
              <w:bottom w:w="70" w:type="dxa"/>
              <w:end w:w="90" w:type="dxa"/>
            </w:tcMar>
          </w:tcPr>
          <w:p>
            <w:pPr>
              <w:spacing w:after="20"/>
            </w:pPr>
            <w:r>
              <w:rPr>
                <w:rFonts w:ascii="Aptos" w:hAnsi="Aptos"/>
                <w:sz w:val="16"/>
              </w:rPr>
              <w:t>Create/list Ads, Ad Set-level listing, preview, and create/list Ad Creatives.</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6"/>
              </w:rPr>
              <w:t>Media</w:t>
            </w:r>
          </w:p>
        </w:tc>
        <w:tc>
          <w:tcPr>
            <w:tcW w:type="dxa" w:w="3240"/>
            <w:vAlign w:val="top"/>
            <w:tcMar>
              <w:top w:w="70" w:type="dxa"/>
              <w:start w:w="90" w:type="dxa"/>
              <w:bottom w:w="70" w:type="dxa"/>
              <w:end w:w="90" w:type="dxa"/>
            </w:tcMar>
            <w:shd w:fill="F5F8FA"/>
          </w:tcPr>
          <w:p>
            <w:pPr>
              <w:spacing w:after="20"/>
            </w:pPr>
            <w:r>
              <w:rPr>
                <w:rFonts w:ascii="Aptos" w:hAnsi="Aptos"/>
                <w:sz w:val="16"/>
              </w:rPr>
              <w:t>adimages.routes.ts; video-upload.routes.ts</w:t>
            </w:r>
          </w:p>
        </w:tc>
        <w:tc>
          <w:tcPr>
            <w:tcW w:type="dxa" w:w="4248"/>
            <w:vAlign w:val="top"/>
            <w:tcMar>
              <w:top w:w="70" w:type="dxa"/>
              <w:start w:w="90" w:type="dxa"/>
              <w:bottom w:w="70" w:type="dxa"/>
              <w:end w:w="90" w:type="dxa"/>
            </w:tcMar>
            <w:shd w:fill="F5F8FA"/>
          </w:tcPr>
          <w:p>
            <w:pPr>
              <w:spacing w:after="20"/>
            </w:pPr>
            <w:r>
              <w:rPr>
                <w:rFonts w:ascii="Aptos" w:hAnsi="Aptos"/>
                <w:sz w:val="16"/>
              </w:rPr>
              <w:t>Image upload and video upload/status workflow.</w:t>
            </w:r>
          </w:p>
        </w:tc>
      </w:tr>
      <w:tr>
        <w:trPr>
          <w:cantSplit/>
        </w:trPr>
        <w:tc>
          <w:tcPr>
            <w:tcW w:type="dxa" w:w="1656"/>
            <w:vAlign w:val="top"/>
            <w:tcMar>
              <w:top w:w="70" w:type="dxa"/>
              <w:start w:w="90" w:type="dxa"/>
              <w:bottom w:w="70" w:type="dxa"/>
              <w:end w:w="90" w:type="dxa"/>
            </w:tcMar>
          </w:tcPr>
          <w:p>
            <w:pPr>
              <w:spacing w:after="20"/>
            </w:pPr>
            <w:r>
              <w:rPr>
                <w:rFonts w:ascii="Aptos" w:hAnsi="Aptos"/>
                <w:sz w:val="16"/>
              </w:rPr>
              <w:t>Insights</w:t>
            </w:r>
          </w:p>
        </w:tc>
        <w:tc>
          <w:tcPr>
            <w:tcW w:type="dxa" w:w="3240"/>
            <w:vAlign w:val="top"/>
            <w:tcMar>
              <w:top w:w="70" w:type="dxa"/>
              <w:start w:w="90" w:type="dxa"/>
              <w:bottom w:w="70" w:type="dxa"/>
              <w:end w:w="90" w:type="dxa"/>
            </w:tcMar>
          </w:tcPr>
          <w:p>
            <w:pPr>
              <w:spacing w:after="20"/>
            </w:pPr>
            <w:r>
              <w:rPr>
                <w:rFonts w:ascii="Aptos" w:hAnsi="Aptos"/>
                <w:sz w:val="16"/>
              </w:rPr>
              <w:t>insights.routes.ts; utils/insightsMetrics.ts; date/filter helpers</w:t>
            </w:r>
          </w:p>
        </w:tc>
        <w:tc>
          <w:tcPr>
            <w:tcW w:type="dxa" w:w="4248"/>
            <w:vAlign w:val="top"/>
            <w:tcMar>
              <w:top w:w="70" w:type="dxa"/>
              <w:start w:w="90" w:type="dxa"/>
              <w:bottom w:w="70" w:type="dxa"/>
              <w:end w:w="90" w:type="dxa"/>
            </w:tcMar>
          </w:tcPr>
          <w:p>
            <w:pPr>
              <w:spacing w:after="20"/>
            </w:pPr>
            <w:r>
              <w:rPr>
                <w:rFonts w:ascii="Aptos" w:hAnsi="Aptos"/>
                <w:sz w:val="16"/>
              </w:rPr>
              <w:t>Account/campaign/ad-set/ad report endpoints, metric selection, date filters, breakdowns, filters and pagination variants.</w:t>
            </w:r>
          </w:p>
        </w:tc>
      </w:tr>
    </w:tbl>
    <w:p>
      <w:pPr>
        <w:spacing w:after="20"/>
      </w:pPr>
    </w:p>
    <w:p>
      <w:pPr>
        <w:pStyle w:val="Heading1"/>
      </w:pPr>
      <w:r>
        <w:t>2.3 ZIP and documentation quality</w:t>
      </w:r>
    </w:p>
    <w:p>
      <w:pPr>
        <w:pStyle w:val="ListBullet"/>
        <w:spacing w:after="40"/>
      </w:pPr>
      <w:r>
        <w:t>The Google project contains a Google Ads token JSON file inside the archive. Even if it is stale or not used by the current token loader, treat a real credential in a shared archive as exposed and revoke it.</w:t>
      </w:r>
    </w:p>
    <w:p>
      <w:pPr>
        <w:pStyle w:val="ListBullet"/>
        <w:spacing w:after="40"/>
      </w:pPr>
      <w:r>
        <w:t>Meta config.ts prints the access token to the terminal. The OAuth callback and the token reader also use different file paths (explained in Section 6).</w:t>
      </w:r>
    </w:p>
    <w:p>
      <w:pPr>
        <w:pStyle w:val="ListBullet"/>
        <w:spacing w:after="40"/>
      </w:pPr>
      <w:r>
        <w:t>The Meta .gitignore contains a large body of unrelated prose and code, not just ignore rules. This is a repository hygiene problem and makes it harder to trust how files are being excluded.</w:t>
      </w:r>
    </w:p>
    <w:p>
      <w:pPr>
        <w:pStyle w:val="ListBullet"/>
        <w:spacing w:after="40"/>
      </w:pPr>
      <w:r>
        <w:t>The ZIP includes selected node_modules .bin entries. Do not distribute node_modules as source; package.json and package-lock.json should be the reproducible dependency definition.</w:t>
      </w:r>
    </w:p>
    <w:p>
      <w:pPr>
        <w:pStyle w:val="ListBullet"/>
        <w:spacing w:after="40"/>
      </w:pPr>
      <w:r>
        <w:t>Documentation is useful but not fully synchronized with the actual source. For example, the Meta learning document discusses specific-ad read/rename/pause route concepts that are not present as route handlers in the supplied ad.routes.ts file.</w:t>
      </w:r>
    </w:p>
    <w:p>
      <w:r>
        <w:br w:type="page"/>
      </w:r>
    </w:p>
    <w:p>
      <w:pPr>
        <w:pStyle w:val="Heading1"/>
      </w:pPr>
      <w:r>
        <w:t>3. Google Ads: feature coverage and gaps</w:t>
      </w:r>
    </w:p>
    <w:tbl>
      <w:tblPr>
        <w:tblW w:type="auto" w:w="0"/>
        <w:jc w:val="center"/>
        <w:tblLook w:firstColumn="1" w:firstRow="1" w:lastColumn="0" w:lastRow="0" w:noHBand="0" w:noVBand="1" w:val="04A0"/>
      </w:tblPr>
      <w:tblGrid>
        <w:gridCol w:w="10282"/>
      </w:tblGrid>
      <w:tr>
        <w:tc>
          <w:tcPr>
            <w:tcW w:type="dxa" w:w="10282"/>
            <w:shd w:fill="D9EAF7"/>
            <w:tcMar>
              <w:top w:w="130" w:type="dxa"/>
              <w:start w:w="160" w:type="dxa"/>
              <w:bottom w:w="130" w:type="dxa"/>
              <w:end w:w="160" w:type="dxa"/>
            </w:tcMar>
          </w:tcPr>
          <w:p>
            <w:pPr>
              <w:spacing w:after="40"/>
            </w:pPr>
            <w:r>
              <w:rPr>
                <w:b/>
                <w:color w:val="17365D"/>
                <w:sz w:val="22"/>
              </w:rPr>
              <w:t>Assessment</w:t>
              <w:br/>
            </w:r>
            <w:r>
              <w:rPr>
                <w:sz w:val="18"/>
              </w:rPr>
              <w:t>Strongest existing areas: Search-oriented campaign operations, budgets/bidding, ad groups/keywords/ads, asset uploads/associations and reporting. The supplied Google roadmap explicitly leaves targeting and conversion-tracking configuration incomplete and treats production hardening as future work.</w:t>
            </w:r>
          </w:p>
        </w:tc>
      </w:tr>
    </w:tbl>
    <w:p>
      <w:pPr>
        <w:spacing w:after="2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99"/>
            <w:shd w:fill="17365D"/>
            <w:vAlign w:val="center"/>
            <w:tcMar>
              <w:top w:w="70" w:type="dxa"/>
              <w:start w:w="90" w:type="dxa"/>
              <w:bottom w:w="70" w:type="dxa"/>
              <w:end w:w="90" w:type="dxa"/>
            </w:tcMar>
          </w:tcPr>
          <w:p>
            <w:pPr>
              <w:spacing w:after="0"/>
            </w:pPr>
            <w:r>
              <w:rPr>
                <w:b/>
                <w:color w:val="FFFFFF"/>
                <w:sz w:val="15"/>
              </w:rPr>
              <w:t>Feature area</w:t>
            </w:r>
          </w:p>
        </w:tc>
        <w:tc>
          <w:tcPr>
            <w:tcW w:type="dxa" w:w="3096"/>
            <w:shd w:fill="17365D"/>
            <w:vAlign w:val="center"/>
            <w:tcMar>
              <w:top w:w="70" w:type="dxa"/>
              <w:start w:w="90" w:type="dxa"/>
              <w:bottom w:w="70" w:type="dxa"/>
              <w:end w:w="90" w:type="dxa"/>
            </w:tcMar>
          </w:tcPr>
          <w:p>
            <w:pPr>
              <w:spacing w:after="0"/>
            </w:pPr>
            <w:r>
              <w:rPr>
                <w:b/>
                <w:color w:val="FFFFFF"/>
                <w:sz w:val="15"/>
              </w:rPr>
              <w:t>Status in supplied source</w:t>
            </w:r>
          </w:p>
        </w:tc>
        <w:tc>
          <w:tcPr>
            <w:tcW w:type="dxa" w:w="4349"/>
            <w:shd w:fill="17365D"/>
            <w:vAlign w:val="center"/>
            <w:tcMar>
              <w:top w:w="70" w:type="dxa"/>
              <w:start w:w="90" w:type="dxa"/>
              <w:bottom w:w="70" w:type="dxa"/>
              <w:end w:w="90" w:type="dxa"/>
            </w:tcMar>
          </w:tcPr>
          <w:p>
            <w:pPr>
              <w:spacing w:after="0"/>
            </w:pPr>
            <w:r>
              <w:rPr>
                <w:b/>
                <w:color w:val="FFFFFF"/>
                <w:sz w:val="15"/>
              </w:rPr>
              <w:t>Gap / limitation</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OAuth and account discovery</w:t>
            </w:r>
          </w:p>
        </w:tc>
        <w:tc>
          <w:tcPr>
            <w:tcW w:type="dxa" w:w="3096"/>
            <w:vAlign w:val="top"/>
            <w:tcMar>
              <w:top w:w="70" w:type="dxa"/>
              <w:start w:w="90" w:type="dxa"/>
              <w:bottom w:w="70" w:type="dxa"/>
              <w:end w:w="90" w:type="dxa"/>
            </w:tcMar>
          </w:tcPr>
          <w:p>
            <w:pPr>
              <w:spacing w:after="20"/>
            </w:pPr>
            <w:r>
              <w:rPr>
                <w:rFonts w:ascii="Aptos" w:hAnsi="Aptos"/>
                <w:sz w:val="15"/>
              </w:rPr>
              <w:t>Present: /auth/google, callback, /accounts.</w:t>
            </w:r>
          </w:p>
        </w:tc>
        <w:tc>
          <w:tcPr>
            <w:tcW w:type="dxa" w:w="4349"/>
            <w:vAlign w:val="top"/>
            <w:tcMar>
              <w:top w:w="70" w:type="dxa"/>
              <w:start w:w="90" w:type="dxa"/>
              <w:bottom w:w="70" w:type="dxa"/>
              <w:end w:w="90" w:type="dxa"/>
            </w:tcMar>
          </w:tcPr>
          <w:p>
            <w:pPr>
              <w:spacing w:after="20"/>
            </w:pPr>
            <w:r>
              <w:rPr>
                <w:rFonts w:ascii="Aptos" w:hAnsi="Aptos"/>
                <w:sz w:val="15"/>
              </w:rPr>
              <w:t>Single token file and static customer ID are learning-mode patterns. Add per-user/per-workspace connections, secure credential storage, revocation, reconnect and manager-account context where needed.</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Campaign management</w:t>
            </w:r>
          </w:p>
        </w:tc>
        <w:tc>
          <w:tcPr>
            <w:tcW w:type="dxa" w:w="3096"/>
            <w:vAlign w:val="top"/>
            <w:tcMar>
              <w:top w:w="70" w:type="dxa"/>
              <w:start w:w="90" w:type="dxa"/>
              <w:bottom w:w="70" w:type="dxa"/>
              <w:end w:w="90" w:type="dxa"/>
            </w:tcMar>
            <w:shd w:fill="F5F8FA"/>
          </w:tcPr>
          <w:p>
            <w:pPr>
              <w:spacing w:after="20"/>
            </w:pPr>
            <w:r>
              <w:rPr>
                <w:rFonts w:ascii="Aptos" w:hAnsi="Aptos"/>
                <w:sz w:val="15"/>
              </w:rPr>
              <w:t>Present, largely Search-oriented.</w:t>
            </w:r>
          </w:p>
        </w:tc>
        <w:tc>
          <w:tcPr>
            <w:tcW w:type="dxa" w:w="4349"/>
            <w:vAlign w:val="top"/>
            <w:tcMar>
              <w:top w:w="70" w:type="dxa"/>
              <w:start w:w="90" w:type="dxa"/>
              <w:bottom w:w="70" w:type="dxa"/>
              <w:end w:w="90" w:type="dxa"/>
            </w:tcMar>
            <w:shd w:fill="F5F8FA"/>
          </w:tcPr>
          <w:p>
            <w:pPr>
              <w:spacing w:after="20"/>
            </w:pPr>
            <w:r>
              <w:rPr>
                <w:rFonts w:ascii="Aptos" w:hAnsi="Aptos"/>
                <w:sz w:val="15"/>
              </w:rPr>
              <w:t>A setup-options list or shared constants does not mean all types are implemented. Full Performance Max, Shopping, Display, Video, Demand Gen and App workflows need campaign-type-specific builders and validation.</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Ad groups / keywords / ads</w:t>
            </w:r>
          </w:p>
        </w:tc>
        <w:tc>
          <w:tcPr>
            <w:tcW w:type="dxa" w:w="3096"/>
            <w:vAlign w:val="top"/>
            <w:tcMar>
              <w:top w:w="70" w:type="dxa"/>
              <w:start w:w="90" w:type="dxa"/>
              <w:bottom w:w="70" w:type="dxa"/>
              <w:end w:w="90" w:type="dxa"/>
            </w:tcMar>
          </w:tcPr>
          <w:p>
            <w:pPr>
              <w:spacing w:after="20"/>
            </w:pPr>
            <w:r>
              <w:rPr>
                <w:rFonts w:ascii="Aptos" w:hAnsi="Aptos"/>
                <w:sz w:val="15"/>
              </w:rPr>
              <w:t>Present: CRUD-like operations, keyword routes, responsive search ads, ad retrieval.</w:t>
            </w:r>
          </w:p>
        </w:tc>
        <w:tc>
          <w:tcPr>
            <w:tcW w:type="dxa" w:w="4349"/>
            <w:vAlign w:val="top"/>
            <w:tcMar>
              <w:top w:w="70" w:type="dxa"/>
              <w:start w:w="90" w:type="dxa"/>
              <w:bottom w:w="70" w:type="dxa"/>
              <w:end w:w="90" w:type="dxa"/>
            </w:tcMar>
          </w:tcPr>
          <w:p>
            <w:pPr>
              <w:spacing w:after="20"/>
            </w:pPr>
            <w:r>
              <w:rPr>
                <w:rFonts w:ascii="Aptos" w:hAnsi="Aptos"/>
                <w:sz w:val="15"/>
              </w:rPr>
              <w:t>Need full pagination, partial failures, consistent safety, policy-status handling, typed payload schemas and live end-to-end tests.</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Budgets and bidding</w:t>
            </w:r>
          </w:p>
        </w:tc>
        <w:tc>
          <w:tcPr>
            <w:tcW w:type="dxa" w:w="3096"/>
            <w:vAlign w:val="top"/>
            <w:tcMar>
              <w:top w:w="70" w:type="dxa"/>
              <w:start w:w="90" w:type="dxa"/>
              <w:bottom w:w="70" w:type="dxa"/>
              <w:end w:w="90" w:type="dxa"/>
            </w:tcMar>
            <w:shd w:fill="F5F8FA"/>
          </w:tcPr>
          <w:p>
            <w:pPr>
              <w:spacing w:after="20"/>
            </w:pPr>
            <w:r>
              <w:rPr>
                <w:rFonts w:ascii="Aptos" w:hAnsi="Aptos"/>
                <w:sz w:val="15"/>
              </w:rPr>
              <w:t>Campaign budget CRUD/assignment and several bidding strategies/portfolio operations exist.</w:t>
            </w:r>
          </w:p>
        </w:tc>
        <w:tc>
          <w:tcPr>
            <w:tcW w:type="dxa" w:w="4349"/>
            <w:vAlign w:val="top"/>
            <w:tcMar>
              <w:top w:w="70" w:type="dxa"/>
              <w:start w:w="90" w:type="dxa"/>
              <w:bottom w:w="70" w:type="dxa"/>
              <w:end w:w="90" w:type="dxa"/>
            </w:tcMar>
            <w:shd w:fill="F5F8FA"/>
          </w:tcPr>
          <w:p>
            <w:pPr>
              <w:spacing w:after="20"/>
            </w:pPr>
            <w:r>
              <w:rPr>
                <w:rFonts w:ascii="Aptos" w:hAnsi="Aptos"/>
                <w:sz w:val="15"/>
              </w:rPr>
              <w:t>This is campaign-budget/strategy code, not complete account billing. Verify currency and micros conversion, strategy compatibility and account-specific limits.</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Assets and media</w:t>
            </w:r>
          </w:p>
        </w:tc>
        <w:tc>
          <w:tcPr>
            <w:tcW w:type="dxa" w:w="3096"/>
            <w:vAlign w:val="top"/>
            <w:tcMar>
              <w:top w:w="70" w:type="dxa"/>
              <w:start w:w="90" w:type="dxa"/>
              <w:bottom w:w="70" w:type="dxa"/>
              <w:end w:w="90" w:type="dxa"/>
            </w:tcMar>
          </w:tcPr>
          <w:p>
            <w:pPr>
              <w:spacing w:after="20"/>
            </w:pPr>
            <w:r>
              <w:rPr>
                <w:rFonts w:ascii="Aptos" w:hAnsi="Aptos"/>
                <w:sz w:val="15"/>
              </w:rPr>
              <w:t>Present: generic assets, image/video uploads, YouTube upload, association routes.</w:t>
            </w:r>
          </w:p>
        </w:tc>
        <w:tc>
          <w:tcPr>
            <w:tcW w:type="dxa" w:w="4349"/>
            <w:vAlign w:val="top"/>
            <w:tcMar>
              <w:top w:w="70" w:type="dxa"/>
              <w:start w:w="90" w:type="dxa"/>
              <w:bottom w:w="70" w:type="dxa"/>
              <w:end w:w="90" w:type="dxa"/>
            </w:tcMar>
          </w:tcPr>
          <w:p>
            <w:pPr>
              <w:spacing w:after="20"/>
            </w:pPr>
            <w:r>
              <w:rPr>
                <w:rFonts w:ascii="Aptos" w:hAnsi="Aptos"/>
                <w:sz w:val="15"/>
              </w:rPr>
              <w:t>Asset groups are not a complete module. Add full asset/asset-set lifecycle, policy status, upload job processing and supported ad-type workflows.</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Reporting</w:t>
            </w:r>
          </w:p>
        </w:tc>
        <w:tc>
          <w:tcPr>
            <w:tcW w:type="dxa" w:w="3096"/>
            <w:vAlign w:val="top"/>
            <w:tcMar>
              <w:top w:w="70" w:type="dxa"/>
              <w:start w:w="90" w:type="dxa"/>
              <w:bottom w:w="70" w:type="dxa"/>
              <w:end w:w="90" w:type="dxa"/>
            </w:tcMar>
            <w:shd w:fill="F5F8FA"/>
          </w:tcPr>
          <w:p>
            <w:pPr>
              <w:spacing w:after="20"/>
            </w:pPr>
            <w:r>
              <w:rPr>
                <w:rFonts w:ascii="Aptos" w:hAnsi="Aptos"/>
                <w:sz w:val="15"/>
              </w:rPr>
              <w:t>27 route declarations by source inventory: campaign, ad-group, keyword, search-term and conversion reports.</w:t>
            </w:r>
          </w:p>
        </w:tc>
        <w:tc>
          <w:tcPr>
            <w:tcW w:type="dxa" w:w="4349"/>
            <w:vAlign w:val="top"/>
            <w:tcMar>
              <w:top w:w="70" w:type="dxa"/>
              <w:start w:w="90" w:type="dxa"/>
              <w:bottom w:w="70" w:type="dxa"/>
              <w:end w:w="90" w:type="dxa"/>
            </w:tcMar>
            <w:shd w:fill="F5F8FA"/>
          </w:tcPr>
          <w:p>
            <w:pPr>
              <w:spacing w:after="20"/>
            </w:pPr>
            <w:r>
              <w:rPr>
                <w:rFonts w:ascii="Aptos" w:hAnsi="Aptos"/>
                <w:sz w:val="15"/>
              </w:rPr>
              <w:t>No shared cross-network data model; not every report has consistent account currency/time zone; pagination and report completeness require verification.</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Search-term quality</w:t>
            </w:r>
          </w:p>
        </w:tc>
        <w:tc>
          <w:tcPr>
            <w:tcW w:type="dxa" w:w="3096"/>
            <w:vAlign w:val="top"/>
            <w:tcMar>
              <w:top w:w="70" w:type="dxa"/>
              <w:start w:w="90" w:type="dxa"/>
              <w:bottom w:w="70" w:type="dxa"/>
              <w:end w:w="90" w:type="dxa"/>
            </w:tcMar>
          </w:tcPr>
          <w:p>
            <w:pPr>
              <w:spacing w:after="20"/>
            </w:pPr>
            <w:r>
              <w:rPr>
                <w:rFonts w:ascii="Aptos" w:hAnsi="Aptos"/>
                <w:sz w:val="15"/>
              </w:rPr>
              <w:t>Read-side search-term and negative-keyword candidates exist.</w:t>
            </w:r>
          </w:p>
        </w:tc>
        <w:tc>
          <w:tcPr>
            <w:tcW w:type="dxa" w:w="4349"/>
            <w:vAlign w:val="top"/>
            <w:tcMar>
              <w:top w:w="70" w:type="dxa"/>
              <w:start w:w="90" w:type="dxa"/>
              <w:bottom w:w="70" w:type="dxa"/>
              <w:end w:w="90" w:type="dxa"/>
            </w:tcMar>
          </w:tcPr>
          <w:p>
            <w:pPr>
              <w:spacing w:after="20"/>
            </w:pPr>
            <w:r>
              <w:rPr>
                <w:rFonts w:ascii="Aptos" w:hAnsi="Aptos"/>
                <w:sz w:val="15"/>
              </w:rPr>
              <w:t>Negative-keyword write workflows, shared negative lists and account/campaign/ad-group-level exclusions are not a complete feature set.</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Targeting</w:t>
            </w:r>
          </w:p>
        </w:tc>
        <w:tc>
          <w:tcPr>
            <w:tcW w:type="dxa" w:w="3096"/>
            <w:vAlign w:val="top"/>
            <w:tcMar>
              <w:top w:w="70" w:type="dxa"/>
              <w:start w:w="90" w:type="dxa"/>
              <w:bottom w:w="70" w:type="dxa"/>
              <w:end w:w="90" w:type="dxa"/>
            </w:tcMar>
            <w:shd w:fill="F5F8FA"/>
          </w:tcPr>
          <w:p>
            <w:pPr>
              <w:spacing w:after="20"/>
            </w:pPr>
            <w:r>
              <w:rPr>
                <w:rFonts w:ascii="Aptos" w:hAnsi="Aptos"/>
                <w:sz w:val="15"/>
              </w:rPr>
              <w:t>Explicitly marked NOT STARTED in the included roadmap.</w:t>
            </w:r>
          </w:p>
        </w:tc>
        <w:tc>
          <w:tcPr>
            <w:tcW w:type="dxa" w:w="4349"/>
            <w:vAlign w:val="top"/>
            <w:tcMar>
              <w:top w:w="70" w:type="dxa"/>
              <w:start w:w="90" w:type="dxa"/>
              <w:bottom w:w="70" w:type="dxa"/>
              <w:end w:w="90" w:type="dxa"/>
            </w:tcMar>
            <w:shd w:fill="F5F8FA"/>
          </w:tcPr>
          <w:p>
            <w:pPr>
              <w:spacing w:after="20"/>
            </w:pPr>
            <w:r>
              <w:rPr>
                <w:rFonts w:ascii="Aptos" w:hAnsi="Aptos"/>
                <w:sz w:val="15"/>
              </w:rPr>
              <w:t>Locations and exclusions, languages, audiences, placements/content exclusions, demographics, schedule, device modifiers and related compatibility rules.</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Conversions</w:t>
            </w:r>
          </w:p>
        </w:tc>
        <w:tc>
          <w:tcPr>
            <w:tcW w:type="dxa" w:w="3096"/>
            <w:vAlign w:val="top"/>
            <w:tcMar>
              <w:top w:w="70" w:type="dxa"/>
              <w:start w:w="90" w:type="dxa"/>
              <w:bottom w:w="70" w:type="dxa"/>
              <w:end w:w="90" w:type="dxa"/>
            </w:tcMar>
          </w:tcPr>
          <w:p>
            <w:pPr>
              <w:spacing w:after="20"/>
            </w:pPr>
            <w:r>
              <w:rPr>
                <w:rFonts w:ascii="Aptos" w:hAnsi="Aptos"/>
                <w:sz w:val="15"/>
              </w:rPr>
              <w:t>Conversion reporting and configured-action reporting routes exist.</w:t>
            </w:r>
          </w:p>
        </w:tc>
        <w:tc>
          <w:tcPr>
            <w:tcW w:type="dxa" w:w="4349"/>
            <w:vAlign w:val="top"/>
            <w:tcMar>
              <w:top w:w="70" w:type="dxa"/>
              <w:start w:w="90" w:type="dxa"/>
              <w:bottom w:w="70" w:type="dxa"/>
              <w:end w:w="90" w:type="dxa"/>
            </w:tcMar>
          </w:tcPr>
          <w:p>
            <w:pPr>
              <w:spacing w:after="20"/>
            </w:pPr>
            <w:r>
              <w:rPr>
                <w:rFonts w:ascii="Aptos" w:hAnsi="Aptos"/>
                <w:sz w:val="15"/>
              </w:rPr>
              <w:t>Not the same as complete conversion setup or event ingestion. Missing/planned: conversion-action setup/updates, goal configuration, Data Manager API integrations, offline/online event uploads, consent handling and diagnostics.</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Billing and account admin</w:t>
            </w:r>
          </w:p>
        </w:tc>
        <w:tc>
          <w:tcPr>
            <w:tcW w:type="dxa" w:w="3096"/>
            <w:vAlign w:val="top"/>
            <w:tcMar>
              <w:top w:w="70" w:type="dxa"/>
              <w:start w:w="90" w:type="dxa"/>
              <w:bottom w:w="70" w:type="dxa"/>
              <w:end w:w="90" w:type="dxa"/>
            </w:tcMar>
            <w:shd w:fill="F5F8FA"/>
          </w:tcPr>
          <w:p>
            <w:pPr>
              <w:spacing w:after="20"/>
            </w:pPr>
            <w:r>
              <w:rPr>
                <w:rFonts w:ascii="Aptos" w:hAnsi="Aptos"/>
                <w:sz w:val="15"/>
              </w:rPr>
              <w:t>Campaign budgets only are visible as a substantial workflow.</w:t>
            </w:r>
          </w:p>
        </w:tc>
        <w:tc>
          <w:tcPr>
            <w:tcW w:type="dxa" w:w="4349"/>
            <w:vAlign w:val="top"/>
            <w:tcMar>
              <w:top w:w="70" w:type="dxa"/>
              <w:start w:w="90" w:type="dxa"/>
              <w:bottom w:w="70" w:type="dxa"/>
              <w:end w:w="90" w:type="dxa"/>
            </w:tcMar>
            <w:shd w:fill="F5F8FA"/>
          </w:tcPr>
          <w:p>
            <w:pPr>
              <w:spacing w:after="20"/>
            </w:pPr>
            <w:r>
              <w:rPr>
                <w:rFonts w:ascii="Aptos" w:hAnsi="Aptos"/>
                <w:sz w:val="15"/>
              </w:rPr>
              <w:t>Billing setups/invoices/account-budget workflows are separate and account eligibility-dependent. Manager-account links, user invitations/access and change history are also missing.</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Optimization</w:t>
            </w:r>
          </w:p>
        </w:tc>
        <w:tc>
          <w:tcPr>
            <w:tcW w:type="dxa" w:w="3096"/>
            <w:vAlign w:val="top"/>
            <w:tcMar>
              <w:top w:w="70" w:type="dxa"/>
              <w:start w:w="90" w:type="dxa"/>
              <w:bottom w:w="70" w:type="dxa"/>
              <w:end w:w="90" w:type="dxa"/>
            </w:tcMar>
          </w:tcPr>
          <w:p>
            <w:pPr>
              <w:spacing w:after="20"/>
            </w:pPr>
            <w:r>
              <w:rPr>
                <w:rFonts w:ascii="Aptos" w:hAnsi="Aptos"/>
                <w:sz w:val="15"/>
              </w:rPr>
              <w:t>Bidding strategy configuration exists.</w:t>
            </w:r>
          </w:p>
        </w:tc>
        <w:tc>
          <w:tcPr>
            <w:tcW w:type="dxa" w:w="4349"/>
            <w:vAlign w:val="top"/>
            <w:tcMar>
              <w:top w:w="70" w:type="dxa"/>
              <w:start w:w="90" w:type="dxa"/>
              <w:bottom w:w="70" w:type="dxa"/>
              <w:end w:w="90" w:type="dxa"/>
            </w:tcMar>
          </w:tcPr>
          <w:p>
            <w:pPr>
              <w:spacing w:after="20"/>
            </w:pPr>
            <w:r>
              <w:rPr>
                <w:rFonts w:ascii="Aptos" w:hAnsi="Aptos"/>
                <w:sz w:val="15"/>
              </w:rPr>
              <w:t>Keyword planning/forecasts, recommendations, experiments, optimization scoring, change-history review, automated rules and guarded optimization are not represented as complete modules.</w:t>
            </w:r>
          </w:p>
        </w:tc>
      </w:tr>
    </w:tbl>
    <w:p>
      <w:pPr>
        <w:spacing w:after="20"/>
      </w:pPr>
    </w:p>
    <w:p>
      <w:pPr>
        <w:pStyle w:val="Heading1"/>
      </w:pPr>
      <w:r>
        <w:t>3.1 Google-specific design facts</w:t>
      </w:r>
    </w:p>
    <w:p>
      <w:pPr>
        <w:pStyle w:val="ListBullet"/>
        <w:spacing w:after="40"/>
      </w:pPr>
      <w:r>
        <w:t>Google Ads reports use GAQL through GoogleAdsService.Search or SearchStream. This differs from Meta Insights query parameters and paging. Normalize results after fetching; do not try to share the query language.</w:t>
      </w:r>
    </w:p>
    <w:p>
      <w:pPr>
        <w:pStyle w:val="ListBullet"/>
        <w:spacing w:after="40"/>
      </w:pPr>
      <w:r>
        <w:t>Google campaign architecture varies. Search and standard Display commonly use Ad Groups; Performance Max uses Asset Groups and AssetGroupAsset links; Demand Gen and other types can have hybrid structures. Separate workflow builders are necessary.</w:t>
      </w:r>
    </w:p>
    <w:p>
      <w:pPr>
        <w:pStyle w:val="ListBullet"/>
        <w:spacing w:after="40"/>
      </w:pPr>
      <w:r>
        <w:t>Google money fields commonly use micros. For currency fields such as cost_micros, convert using the documented field semantics; never hard-code INR or assume a generic 100/1000 conversion.</w:t>
      </w:r>
    </w:p>
    <w:p>
      <w:pPr>
        <w:pStyle w:val="ListBullet"/>
        <w:spacing w:after="40"/>
      </w:pPr>
      <w:r>
        <w:t>An API-accepted ad may subsequently be rejected by policy review. The UI needs review status, disapproval details and effective state, not just the configured status.</w:t>
      </w:r>
    </w:p>
    <w:p>
      <w:r>
        <w:br w:type="page"/>
      </w:r>
    </w:p>
    <w:p>
      <w:pPr>
        <w:pStyle w:val="Heading1"/>
      </w:pPr>
      <w:r>
        <w:t>4. Meta Ads: feature coverage and gaps</w:t>
      </w:r>
    </w:p>
    <w:tbl>
      <w:tblPr>
        <w:tblW w:type="auto" w:w="0"/>
        <w:jc w:val="center"/>
        <w:tblLook w:firstColumn="1" w:firstRow="1" w:lastColumn="0" w:lastRow="0" w:noHBand="0" w:noVBand="1" w:val="04A0"/>
      </w:tblPr>
      <w:tblGrid>
        <w:gridCol w:w="10282"/>
      </w:tblGrid>
      <w:tr>
        <w:tc>
          <w:tcPr>
            <w:tcW w:type="dxa" w:w="10282"/>
            <w:shd w:fill="D9EAF7"/>
            <w:tcMar>
              <w:top w:w="130" w:type="dxa"/>
              <w:start w:w="160" w:type="dxa"/>
              <w:bottom w:w="130" w:type="dxa"/>
              <w:end w:w="160" w:type="dxa"/>
            </w:tcMar>
          </w:tcPr>
          <w:p>
            <w:pPr>
              <w:spacing w:after="40"/>
            </w:pPr>
            <w:r>
              <w:rPr>
                <w:b/>
                <w:color w:val="17365D"/>
                <w:sz w:val="22"/>
              </w:rPr>
              <w:t>Assessment</w:t>
              <w:br/>
            </w:r>
            <w:r>
              <w:rPr>
                <w:sz w:val="18"/>
              </w:rPr>
              <w:t>Meta has a useful foundation for campaign/ad-set configuration, Ads/Creatives/media and Insights. The project runbook describes most features as learning examples, with only a subset of live outcomes recorded. Audience creation, pixel/dataset/conversion-event workflows and production access readiness remain future work.</w:t>
            </w:r>
          </w:p>
        </w:tc>
      </w:tr>
    </w:tbl>
    <w:p>
      <w:pPr>
        <w:spacing w:after="2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99"/>
            <w:shd w:fill="17365D"/>
            <w:vAlign w:val="center"/>
            <w:tcMar>
              <w:top w:w="70" w:type="dxa"/>
              <w:start w:w="90" w:type="dxa"/>
              <w:bottom w:w="70" w:type="dxa"/>
              <w:end w:w="90" w:type="dxa"/>
            </w:tcMar>
          </w:tcPr>
          <w:p>
            <w:pPr>
              <w:spacing w:after="0"/>
            </w:pPr>
            <w:r>
              <w:rPr>
                <w:b/>
                <w:color w:val="FFFFFF"/>
                <w:sz w:val="15"/>
              </w:rPr>
              <w:t>Feature area</w:t>
            </w:r>
          </w:p>
        </w:tc>
        <w:tc>
          <w:tcPr>
            <w:tcW w:type="dxa" w:w="3096"/>
            <w:shd w:fill="17365D"/>
            <w:vAlign w:val="center"/>
            <w:tcMar>
              <w:top w:w="70" w:type="dxa"/>
              <w:start w:w="90" w:type="dxa"/>
              <w:bottom w:w="70" w:type="dxa"/>
              <w:end w:w="90" w:type="dxa"/>
            </w:tcMar>
          </w:tcPr>
          <w:p>
            <w:pPr>
              <w:spacing w:after="0"/>
            </w:pPr>
            <w:r>
              <w:rPr>
                <w:b/>
                <w:color w:val="FFFFFF"/>
                <w:sz w:val="15"/>
              </w:rPr>
              <w:t>Status in supplied source</w:t>
            </w:r>
          </w:p>
        </w:tc>
        <w:tc>
          <w:tcPr>
            <w:tcW w:type="dxa" w:w="4349"/>
            <w:shd w:fill="17365D"/>
            <w:vAlign w:val="center"/>
            <w:tcMar>
              <w:top w:w="70" w:type="dxa"/>
              <w:start w:w="90" w:type="dxa"/>
              <w:bottom w:w="70" w:type="dxa"/>
              <w:end w:w="90" w:type="dxa"/>
            </w:tcMar>
          </w:tcPr>
          <w:p>
            <w:pPr>
              <w:spacing w:after="0"/>
            </w:pPr>
            <w:r>
              <w:rPr>
                <w:b/>
                <w:color w:val="FFFFFF"/>
                <w:sz w:val="15"/>
              </w:rPr>
              <w:t>Gap / limitation</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OAuth and account discovery</w:t>
            </w:r>
          </w:p>
        </w:tc>
        <w:tc>
          <w:tcPr>
            <w:tcW w:type="dxa" w:w="3096"/>
            <w:vAlign w:val="top"/>
            <w:tcMar>
              <w:top w:w="70" w:type="dxa"/>
              <w:start w:w="90" w:type="dxa"/>
              <w:bottom w:w="70" w:type="dxa"/>
              <w:end w:w="90" w:type="dxa"/>
            </w:tcMar>
          </w:tcPr>
          <w:p>
            <w:pPr>
              <w:spacing w:after="20"/>
            </w:pPr>
            <w:r>
              <w:rPr>
                <w:rFonts w:ascii="Aptos" w:hAnsi="Aptos"/>
                <w:sz w:val="15"/>
              </w:rPr>
              <w:t>OAuth callback, GET /meta/ad-accounts and GET /meta/permissions.</w:t>
            </w:r>
          </w:p>
        </w:tc>
        <w:tc>
          <w:tcPr>
            <w:tcW w:type="dxa" w:w="4349"/>
            <w:vAlign w:val="top"/>
            <w:tcMar>
              <w:top w:w="70" w:type="dxa"/>
              <w:start w:w="90" w:type="dxa"/>
              <w:bottom w:w="70" w:type="dxa"/>
              <w:end w:w="90" w:type="dxa"/>
            </w:tcMar>
          </w:tcPr>
          <w:p>
            <w:pPr>
              <w:spacing w:after="20"/>
            </w:pPr>
            <w:r>
              <w:rPr>
                <w:rFonts w:ascii="Aptos" w:hAnsi="Aptos"/>
                <w:sz w:val="15"/>
              </w:rPr>
              <w:t>Token path mismatch, token logging, single global token file, no workspace binding and no production session store. App is documented as remaining in Development mode.</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Campaigns</w:t>
            </w:r>
          </w:p>
        </w:tc>
        <w:tc>
          <w:tcPr>
            <w:tcW w:type="dxa" w:w="3096"/>
            <w:vAlign w:val="top"/>
            <w:tcMar>
              <w:top w:w="70" w:type="dxa"/>
              <w:start w:w="90" w:type="dxa"/>
              <w:bottom w:w="70" w:type="dxa"/>
              <w:end w:w="90" w:type="dxa"/>
            </w:tcMar>
            <w:shd w:fill="F5F8FA"/>
          </w:tcPr>
          <w:p>
            <w:pPr>
              <w:spacing w:after="20"/>
            </w:pPr>
            <w:r>
              <w:rPr>
                <w:rFonts w:ascii="Aptos" w:hAnsi="Aptos"/>
                <w:sz w:val="15"/>
              </w:rPr>
              <w:t>List/create/update/status/delete handlers.</w:t>
            </w:r>
          </w:p>
        </w:tc>
        <w:tc>
          <w:tcPr>
            <w:tcW w:type="dxa" w:w="4349"/>
            <w:vAlign w:val="top"/>
            <w:tcMar>
              <w:top w:w="70" w:type="dxa"/>
              <w:start w:w="90" w:type="dxa"/>
              <w:bottom w:w="70" w:type="dxa"/>
              <w:end w:w="90" w:type="dxa"/>
            </w:tcMar>
            <w:shd w:fill="F5F8FA"/>
          </w:tcPr>
          <w:p>
            <w:pPr>
              <w:spacing w:after="20"/>
            </w:pPr>
            <w:r>
              <w:rPr>
                <w:rFonts w:ascii="Aptos" w:hAnsi="Aptos"/>
                <w:sz w:val="15"/>
              </w:rPr>
              <w:t>Validate objective/category eligibility and safe defaults, per-user authorization, preview/confirm, lifecycle response verification and partial-failure reporting.</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Ad Sets</w:t>
            </w:r>
          </w:p>
        </w:tc>
        <w:tc>
          <w:tcPr>
            <w:tcW w:type="dxa" w:w="3096"/>
            <w:vAlign w:val="top"/>
            <w:tcMar>
              <w:top w:w="70" w:type="dxa"/>
              <w:start w:w="90" w:type="dxa"/>
              <w:bottom w:w="70" w:type="dxa"/>
              <w:end w:w="90" w:type="dxa"/>
            </w:tcMar>
          </w:tcPr>
          <w:p>
            <w:pPr>
              <w:spacing w:after="20"/>
            </w:pPr>
            <w:r>
              <w:rPr>
                <w:rFonts w:ascii="Aptos" w:hAnsi="Aptos"/>
                <w:sz w:val="15"/>
              </w:rPr>
              <w:t>List/create/update/status/budget/targeting plus bidding, performance goal and billing-event routes.</w:t>
            </w:r>
          </w:p>
        </w:tc>
        <w:tc>
          <w:tcPr>
            <w:tcW w:type="dxa" w:w="4349"/>
            <w:vAlign w:val="top"/>
            <w:tcMar>
              <w:top w:w="70" w:type="dxa"/>
              <w:start w:w="90" w:type="dxa"/>
              <w:bottom w:w="70" w:type="dxa"/>
              <w:end w:w="90" w:type="dxa"/>
            </w:tcMar>
          </w:tcPr>
          <w:p>
            <w:pPr>
              <w:spacing w:after="20"/>
            </w:pPr>
            <w:r>
              <w:rPr>
                <w:rFonts w:ascii="Aptos" w:hAnsi="Aptos"/>
                <w:sz w:val="15"/>
              </w:rPr>
              <w:t>Basic targeting update is not a complete targeting product. Missing discovery/search helpers, saved-audience flows, full placements/scheduling/demographic/geo validation and objective compatibility coverage.</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Ads and creatives</w:t>
            </w:r>
          </w:p>
        </w:tc>
        <w:tc>
          <w:tcPr>
            <w:tcW w:type="dxa" w:w="3096"/>
            <w:vAlign w:val="top"/>
            <w:tcMar>
              <w:top w:w="70" w:type="dxa"/>
              <w:start w:w="90" w:type="dxa"/>
              <w:bottom w:w="70" w:type="dxa"/>
              <w:end w:w="90" w:type="dxa"/>
            </w:tcMar>
            <w:shd w:fill="F5F8FA"/>
          </w:tcPr>
          <w:p>
            <w:pPr>
              <w:spacing w:after="20"/>
            </w:pPr>
            <w:r>
              <w:rPr>
                <w:rFonts w:ascii="Aptos" w:hAnsi="Aptos"/>
                <w:sz w:val="15"/>
              </w:rPr>
              <w:t>Create/list ads, ad-set listing, preview; create/list creatives; image and video upload routes.</w:t>
            </w:r>
          </w:p>
        </w:tc>
        <w:tc>
          <w:tcPr>
            <w:tcW w:type="dxa" w:w="4349"/>
            <w:vAlign w:val="top"/>
            <w:tcMar>
              <w:top w:w="70" w:type="dxa"/>
              <w:start w:w="90" w:type="dxa"/>
              <w:bottom w:w="70" w:type="dxa"/>
              <w:end w:w="90" w:type="dxa"/>
            </w:tcMar>
            <w:shd w:fill="F5F8FA"/>
          </w:tcPr>
          <w:p>
            <w:pPr>
              <w:spacing w:after="20"/>
            </w:pPr>
            <w:r>
              <w:rPr>
                <w:rFonts w:ascii="Aptos" w:hAnsi="Aptos"/>
                <w:sz w:val="15"/>
              </w:rPr>
              <w:t>Source only exposes four ad handlers; it does not contain standalone GET-by-ad-id, rename, pause or delete handlers described in parts of the learning document. Video creative workflow is documented as planned/illustrative.</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Insights</w:t>
            </w:r>
          </w:p>
        </w:tc>
        <w:tc>
          <w:tcPr>
            <w:tcW w:type="dxa" w:w="3096"/>
            <w:vAlign w:val="top"/>
            <w:tcMar>
              <w:top w:w="70" w:type="dxa"/>
              <w:start w:w="90" w:type="dxa"/>
              <w:bottom w:w="70" w:type="dxa"/>
              <w:end w:w="90" w:type="dxa"/>
            </w:tcMar>
          </w:tcPr>
          <w:p>
            <w:pPr>
              <w:spacing w:after="20"/>
            </w:pPr>
            <w:r>
              <w:rPr>
                <w:rFonts w:ascii="Aptos" w:hAnsi="Aptos"/>
                <w:sz w:val="15"/>
              </w:rPr>
              <w:t>Eight route declarations for account/campaign/ad-set/ad levels and helper endpoints.</w:t>
            </w:r>
          </w:p>
        </w:tc>
        <w:tc>
          <w:tcPr>
            <w:tcW w:type="dxa" w:w="4349"/>
            <w:vAlign w:val="top"/>
            <w:tcMar>
              <w:top w:w="70" w:type="dxa"/>
              <w:start w:w="90" w:type="dxa"/>
              <w:bottom w:w="70" w:type="dxa"/>
              <w:end w:w="90" w:type="dxa"/>
            </w:tcMar>
          </w:tcPr>
          <w:p>
            <w:pPr>
              <w:spacing w:after="20"/>
            </w:pPr>
            <w:r>
              <w:rPr>
                <w:rFonts w:ascii="Aptos" w:hAnsi="Aptos"/>
                <w:sz w:val="15"/>
              </w:rPr>
              <w:t>Project docs mark Insights implementation as not fully live-tested. Verify date-range semantics, attribution, numeric-string parsing, breakdown combinations, paging and large async reports.</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Audiences</w:t>
            </w:r>
          </w:p>
        </w:tc>
        <w:tc>
          <w:tcPr>
            <w:tcW w:type="dxa" w:w="3096"/>
            <w:vAlign w:val="top"/>
            <w:tcMar>
              <w:top w:w="70" w:type="dxa"/>
              <w:start w:w="90" w:type="dxa"/>
              <w:bottom w:w="70" w:type="dxa"/>
              <w:end w:w="90" w:type="dxa"/>
            </w:tcMar>
            <w:shd w:fill="F5F8FA"/>
          </w:tcPr>
          <w:p>
            <w:pPr>
              <w:spacing w:after="20"/>
            </w:pPr>
            <w:r>
              <w:rPr>
                <w:rFonts w:ascii="Aptos" w:hAnsi="Aptos"/>
                <w:sz w:val="15"/>
              </w:rPr>
              <w:t>Not found as a complete module in the supplied route tree.</w:t>
            </w:r>
          </w:p>
        </w:tc>
        <w:tc>
          <w:tcPr>
            <w:tcW w:type="dxa" w:w="4349"/>
            <w:vAlign w:val="top"/>
            <w:tcMar>
              <w:top w:w="70" w:type="dxa"/>
              <w:start w:w="90" w:type="dxa"/>
              <w:bottom w:w="70" w:type="dxa"/>
              <w:end w:w="90" w:type="dxa"/>
            </w:tcMar>
            <w:shd w:fill="F5F8FA"/>
          </w:tcPr>
          <w:p>
            <w:pPr>
              <w:spacing w:after="20"/>
            </w:pPr>
            <w:r>
              <w:rPr>
                <w:rFonts w:ascii="Aptos" w:hAnsi="Aptos"/>
                <w:sz w:val="15"/>
              </w:rPr>
              <w:t>Custom, saved and lookalike audiences; create/read/update/delete; membership sync; suppression/exclusions; permission/eligibility checks; policy and consent enforcement.</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Conversion tracking</w:t>
            </w:r>
          </w:p>
        </w:tc>
        <w:tc>
          <w:tcPr>
            <w:tcW w:type="dxa" w:w="3096"/>
            <w:vAlign w:val="top"/>
            <w:tcMar>
              <w:top w:w="70" w:type="dxa"/>
              <w:start w:w="90" w:type="dxa"/>
              <w:bottom w:w="70" w:type="dxa"/>
              <w:end w:w="90" w:type="dxa"/>
            </w:tcMar>
          </w:tcPr>
          <w:p>
            <w:pPr>
              <w:spacing w:after="20"/>
            </w:pPr>
            <w:r>
              <w:rPr>
                <w:rFonts w:ascii="Aptos" w:hAnsi="Aptos"/>
                <w:sz w:val="15"/>
              </w:rPr>
              <w:t>No Conversions API event ingestion or Pixel/Dataset management route family found.</w:t>
            </w:r>
          </w:p>
        </w:tc>
        <w:tc>
          <w:tcPr>
            <w:tcW w:type="dxa" w:w="4349"/>
            <w:vAlign w:val="top"/>
            <w:tcMar>
              <w:top w:w="70" w:type="dxa"/>
              <w:start w:w="90" w:type="dxa"/>
              <w:bottom w:w="70" w:type="dxa"/>
              <w:end w:w="90" w:type="dxa"/>
            </w:tcMar>
          </w:tcPr>
          <w:p>
            <w:pPr>
              <w:spacing w:after="20"/>
            </w:pPr>
            <w:r>
              <w:rPr>
                <w:rFonts w:ascii="Aptos" w:hAnsi="Aptos"/>
                <w:sz w:val="15"/>
              </w:rPr>
              <w:t>Event source discovery, browser/server event deduplication, event_id, event testing/diagnostics, match-key handling, consent and data-processing rules.</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Pages/Instagram identity and assets</w:t>
            </w:r>
          </w:p>
        </w:tc>
        <w:tc>
          <w:tcPr>
            <w:tcW w:type="dxa" w:w="3096"/>
            <w:vAlign w:val="top"/>
            <w:tcMar>
              <w:top w:w="70" w:type="dxa"/>
              <w:start w:w="90" w:type="dxa"/>
              <w:bottom w:w="70" w:type="dxa"/>
              <w:end w:w="90" w:type="dxa"/>
            </w:tcMar>
            <w:shd w:fill="F5F8FA"/>
          </w:tcPr>
          <w:p>
            <w:pPr>
              <w:spacing w:after="20"/>
            </w:pPr>
            <w:r>
              <w:rPr>
                <w:rFonts w:ascii="Aptos" w:hAnsi="Aptos"/>
                <w:sz w:val="15"/>
              </w:rPr>
              <w:t>Creative endpoints accept identity inputs; no comprehensive Page/Instagram account discovery module found.</w:t>
            </w:r>
          </w:p>
        </w:tc>
        <w:tc>
          <w:tcPr>
            <w:tcW w:type="dxa" w:w="4349"/>
            <w:vAlign w:val="top"/>
            <w:tcMar>
              <w:top w:w="70" w:type="dxa"/>
              <w:start w:w="90" w:type="dxa"/>
              <w:bottom w:w="70" w:type="dxa"/>
              <w:end w:w="90" w:type="dxa"/>
            </w:tcMar>
            <w:shd w:fill="F5F8FA"/>
          </w:tcPr>
          <w:p>
            <w:pPr>
              <w:spacing w:after="20"/>
            </w:pPr>
            <w:r>
              <w:rPr>
                <w:rFonts w:ascii="Aptos" w:hAnsi="Aptos"/>
                <w:sz w:val="15"/>
              </w:rPr>
              <w:t>Discover and validate Page/Instagram account access, available identities, catalogs, product feeds, lead forms and other business assets.</w:t>
            </w:r>
          </w:p>
        </w:tc>
      </w:tr>
      <w:tr>
        <w:trPr>
          <w:cantSplit/>
        </w:trPr>
        <w:tc>
          <w:tcPr>
            <w:tcW w:type="dxa" w:w="1699"/>
            <w:vAlign w:val="top"/>
            <w:tcMar>
              <w:top w:w="70" w:type="dxa"/>
              <w:start w:w="90" w:type="dxa"/>
              <w:bottom w:w="70" w:type="dxa"/>
              <w:end w:w="90" w:type="dxa"/>
            </w:tcMar>
          </w:tcPr>
          <w:p>
            <w:pPr>
              <w:spacing w:after="20"/>
            </w:pPr>
            <w:r>
              <w:rPr>
                <w:rFonts w:ascii="Aptos" w:hAnsi="Aptos"/>
                <w:sz w:val="15"/>
              </w:rPr>
              <w:t>Billing</w:t>
            </w:r>
          </w:p>
        </w:tc>
        <w:tc>
          <w:tcPr>
            <w:tcW w:type="dxa" w:w="3096"/>
            <w:vAlign w:val="top"/>
            <w:tcMar>
              <w:top w:w="70" w:type="dxa"/>
              <w:start w:w="90" w:type="dxa"/>
              <w:bottom w:w="70" w:type="dxa"/>
              <w:end w:w="90" w:type="dxa"/>
            </w:tcMar>
          </w:tcPr>
          <w:p>
            <w:pPr>
              <w:spacing w:after="20"/>
            </w:pPr>
            <w:r>
              <w:rPr>
                <w:rFonts w:ascii="Aptos" w:hAnsi="Aptos"/>
                <w:sz w:val="15"/>
              </w:rPr>
              <w:t>Ad Set billing_event configuration is present.</w:t>
            </w:r>
          </w:p>
        </w:tc>
        <w:tc>
          <w:tcPr>
            <w:tcW w:type="dxa" w:w="4349"/>
            <w:vAlign w:val="top"/>
            <w:tcMar>
              <w:top w:w="70" w:type="dxa"/>
              <w:start w:w="90" w:type="dxa"/>
              <w:bottom w:w="70" w:type="dxa"/>
              <w:end w:w="90" w:type="dxa"/>
            </w:tcMar>
          </w:tcPr>
          <w:p>
            <w:pPr>
              <w:spacing w:after="20"/>
            </w:pPr>
            <w:r>
              <w:rPr>
                <w:rFonts w:ascii="Aptos" w:hAnsi="Aptos"/>
                <w:sz w:val="15"/>
              </w:rPr>
              <w:t>Billing event means the ad set billing basis; it is not payment-method, invoice, billing-account or complete account-billing management.</w:t>
            </w:r>
          </w:p>
        </w:tc>
      </w:tr>
      <w:tr>
        <w:trPr>
          <w:cantSplit/>
        </w:trPr>
        <w:tc>
          <w:tcPr>
            <w:tcW w:type="dxa" w:w="1699"/>
            <w:vAlign w:val="top"/>
            <w:tcMar>
              <w:top w:w="70" w:type="dxa"/>
              <w:start w:w="90" w:type="dxa"/>
              <w:bottom w:w="70" w:type="dxa"/>
              <w:end w:w="90" w:type="dxa"/>
            </w:tcMar>
            <w:shd w:fill="F5F8FA"/>
          </w:tcPr>
          <w:p>
            <w:pPr>
              <w:spacing w:after="20"/>
            </w:pPr>
            <w:r>
              <w:rPr>
                <w:rFonts w:ascii="Aptos" w:hAnsi="Aptos"/>
                <w:sz w:val="15"/>
              </w:rPr>
              <w:t>Advanced formats and automation</w:t>
            </w:r>
          </w:p>
        </w:tc>
        <w:tc>
          <w:tcPr>
            <w:tcW w:type="dxa" w:w="3096"/>
            <w:vAlign w:val="top"/>
            <w:tcMar>
              <w:top w:w="70" w:type="dxa"/>
              <w:start w:w="90" w:type="dxa"/>
              <w:bottom w:w="70" w:type="dxa"/>
              <w:end w:w="90" w:type="dxa"/>
            </w:tcMar>
            <w:shd w:fill="F5F8FA"/>
          </w:tcPr>
          <w:p>
            <w:pPr>
              <w:spacing w:after="20"/>
            </w:pPr>
            <w:r>
              <w:rPr>
                <w:rFonts w:ascii="Aptos" w:hAnsi="Aptos"/>
                <w:sz w:val="15"/>
              </w:rPr>
              <w:t>Partial creative/media foundation.</w:t>
            </w:r>
          </w:p>
        </w:tc>
        <w:tc>
          <w:tcPr>
            <w:tcW w:type="dxa" w:w="4349"/>
            <w:vAlign w:val="top"/>
            <w:tcMar>
              <w:top w:w="70" w:type="dxa"/>
              <w:start w:w="90" w:type="dxa"/>
              <w:bottom w:w="70" w:type="dxa"/>
              <w:end w:w="90" w:type="dxa"/>
            </w:tcMar>
            <w:shd w:fill="F5F8FA"/>
          </w:tcPr>
          <w:p>
            <w:pPr>
              <w:spacing w:after="20"/>
            </w:pPr>
            <w:r>
              <w:rPr>
                <w:rFonts w:ascii="Aptos" w:hAnsi="Aptos"/>
                <w:sz w:val="15"/>
              </w:rPr>
              <w:t>Carousel, catalog/dynamic ads, Advantage+ variants, robust creative validation, lead ads/lead retrieval, experiments and automated rules are not complete modules.</w:t>
            </w:r>
          </w:p>
        </w:tc>
      </w:tr>
    </w:tbl>
    <w:p>
      <w:pPr>
        <w:spacing w:after="20"/>
      </w:pPr>
    </w:p>
    <w:p>
      <w:pPr>
        <w:pStyle w:val="Heading1"/>
      </w:pPr>
      <w:r>
        <w:t>4.1 Meta-specific design facts</w:t>
      </w:r>
    </w:p>
    <w:p>
      <w:pPr>
        <w:pStyle w:val="ListBullet"/>
        <w:spacing w:after="40"/>
      </w:pPr>
      <w:r>
        <w:t>Meta Marketing API is part of Graph API. Its common object model is Campaign → Ad Set → Ad; Ad Creative is a referenced object. Collection responses can include data and paging cursors.</w:t>
      </w:r>
    </w:p>
    <w:p>
      <w:pPr>
        <w:pStyle w:val="ListBullet"/>
        <w:spacing w:after="40"/>
      </w:pPr>
      <w:r>
        <w:t>Meta distinguishes an object’s configured status from effective_status, which incorporates parent status and other delivery conditions. A normalized view should preserve both where available.</w:t>
      </w:r>
    </w:p>
    <w:p>
      <w:pPr>
        <w:pStyle w:val="ListBullet"/>
        <w:spacing w:after="40"/>
      </w:pPr>
      <w:r>
        <w:t>Meta targeting, budget, billing event, bid strategy and optimization goal are dependent settings. Validate combinations per objective and account rather than relying on a small hard-coded allowlist as the source of truth.</w:t>
      </w:r>
    </w:p>
    <w:p>
      <w:pPr>
        <w:pStyle w:val="ListBullet"/>
        <w:spacing w:after="40"/>
      </w:pPr>
      <w:r>
        <w:t>Do not assume a successful image upload proves creative creation or ad delivery will succeed. Upload, processing, creative creation, ad creation, review and delivery are separate stages.</w:t>
      </w:r>
    </w:p>
    <w:p>
      <w:r>
        <w:br w:type="page"/>
      </w:r>
    </w:p>
    <w:p>
      <w:pPr>
        <w:pStyle w:val="Heading1"/>
      </w:pPr>
      <w:r>
        <w:t>5. Cross-platform API differences that the architecture must preserve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512"/>
            <w:shd w:fill="17365D"/>
            <w:vAlign w:val="center"/>
            <w:tcMar>
              <w:top w:w="70" w:type="dxa"/>
              <w:start w:w="90" w:type="dxa"/>
              <w:bottom w:w="70" w:type="dxa"/>
              <w:end w:w="90" w:type="dxa"/>
            </w:tcMar>
          </w:tcPr>
          <w:p>
            <w:pPr>
              <w:spacing w:after="0"/>
            </w:pPr>
            <w:r>
              <w:rPr>
                <w:b/>
                <w:color w:val="FFFFFF"/>
                <w:sz w:val="14"/>
              </w:rPr>
              <w:t>Concern</w:t>
            </w:r>
          </w:p>
        </w:tc>
        <w:tc>
          <w:tcPr>
            <w:tcW w:type="dxa" w:w="2232"/>
            <w:shd w:fill="17365D"/>
            <w:vAlign w:val="center"/>
            <w:tcMar>
              <w:top w:w="70" w:type="dxa"/>
              <w:start w:w="90" w:type="dxa"/>
              <w:bottom w:w="70" w:type="dxa"/>
              <w:end w:w="90" w:type="dxa"/>
            </w:tcMar>
          </w:tcPr>
          <w:p>
            <w:pPr>
              <w:spacing w:after="0"/>
            </w:pPr>
            <w:r>
              <w:rPr>
                <w:b/>
                <w:color w:val="FFFFFF"/>
                <w:sz w:val="14"/>
              </w:rPr>
              <w:t>Google Ads</w:t>
            </w:r>
          </w:p>
        </w:tc>
        <w:tc>
          <w:tcPr>
            <w:tcW w:type="dxa" w:w="2232"/>
            <w:shd w:fill="17365D"/>
            <w:vAlign w:val="center"/>
            <w:tcMar>
              <w:top w:w="70" w:type="dxa"/>
              <w:start w:w="90" w:type="dxa"/>
              <w:bottom w:w="70" w:type="dxa"/>
              <w:end w:w="90" w:type="dxa"/>
            </w:tcMar>
          </w:tcPr>
          <w:p>
            <w:pPr>
              <w:spacing w:after="0"/>
            </w:pPr>
            <w:r>
              <w:rPr>
                <w:b/>
                <w:color w:val="FFFFFF"/>
                <w:sz w:val="14"/>
              </w:rPr>
              <w:t>Meta Ads</w:t>
            </w:r>
          </w:p>
        </w:tc>
        <w:tc>
          <w:tcPr>
            <w:tcW w:type="dxa" w:w="3168"/>
            <w:shd w:fill="17365D"/>
            <w:vAlign w:val="center"/>
            <w:tcMar>
              <w:top w:w="70" w:type="dxa"/>
              <w:start w:w="90" w:type="dxa"/>
              <w:bottom w:w="70" w:type="dxa"/>
              <w:end w:w="90" w:type="dxa"/>
            </w:tcMar>
          </w:tcPr>
          <w:p>
            <w:pPr>
              <w:spacing w:after="0"/>
            </w:pPr>
            <w:r>
              <w:rPr>
                <w:b/>
                <w:color w:val="FFFFFF"/>
                <w:sz w:val="14"/>
              </w:rPr>
              <w:t>Unified platform strategy</w:t>
            </w:r>
          </w:p>
        </w:tc>
      </w:tr>
      <w:tr>
        <w:trPr>
          <w:cantSplit/>
        </w:trPr>
        <w:tc>
          <w:tcPr>
            <w:tcW w:type="dxa" w:w="1512"/>
            <w:vAlign w:val="top"/>
            <w:tcMar>
              <w:top w:w="70" w:type="dxa"/>
              <w:start w:w="90" w:type="dxa"/>
              <w:bottom w:w="70" w:type="dxa"/>
              <w:end w:w="90" w:type="dxa"/>
            </w:tcMar>
          </w:tcPr>
          <w:p>
            <w:pPr>
              <w:spacing w:after="20"/>
            </w:pPr>
            <w:r>
              <w:rPr>
                <w:rFonts w:ascii="Aptos" w:hAnsi="Aptos"/>
                <w:sz w:val="14"/>
              </w:rPr>
              <w:t>Resource hierarchy</w:t>
            </w:r>
          </w:p>
        </w:tc>
        <w:tc>
          <w:tcPr>
            <w:tcW w:type="dxa" w:w="2232"/>
            <w:vAlign w:val="top"/>
            <w:tcMar>
              <w:top w:w="70" w:type="dxa"/>
              <w:start w:w="90" w:type="dxa"/>
              <w:bottom w:w="70" w:type="dxa"/>
              <w:end w:w="90" w:type="dxa"/>
            </w:tcMar>
          </w:tcPr>
          <w:p>
            <w:pPr>
              <w:spacing w:after="20"/>
            </w:pPr>
            <w:r>
              <w:rPr>
                <w:rFonts w:ascii="Aptos" w:hAnsi="Aptos"/>
                <w:sz w:val="14"/>
              </w:rPr>
              <w:t>Customer account → Campaign → Ad Group → Ad/criteria; Performance Max uses Asset Groups.</w:t>
            </w:r>
          </w:p>
        </w:tc>
        <w:tc>
          <w:tcPr>
            <w:tcW w:type="dxa" w:w="2232"/>
            <w:vAlign w:val="top"/>
            <w:tcMar>
              <w:top w:w="70" w:type="dxa"/>
              <w:start w:w="90" w:type="dxa"/>
              <w:bottom w:w="70" w:type="dxa"/>
              <w:end w:w="90" w:type="dxa"/>
            </w:tcMar>
          </w:tcPr>
          <w:p>
            <w:pPr>
              <w:spacing w:after="20"/>
            </w:pPr>
            <w:r>
              <w:rPr>
                <w:rFonts w:ascii="Aptos" w:hAnsi="Aptos"/>
                <w:sz w:val="14"/>
              </w:rPr>
              <w:t>Ad account → Campaign → Ad Set → Ad; Ad references Ad Creative.</w:t>
            </w:r>
          </w:p>
        </w:tc>
        <w:tc>
          <w:tcPr>
            <w:tcW w:type="dxa" w:w="3168"/>
            <w:vAlign w:val="top"/>
            <w:tcMar>
              <w:top w:w="70" w:type="dxa"/>
              <w:start w:w="90" w:type="dxa"/>
              <w:bottom w:w="70" w:type="dxa"/>
              <w:end w:w="90" w:type="dxa"/>
            </w:tcMar>
          </w:tcPr>
          <w:p>
            <w:pPr>
              <w:spacing w:after="20"/>
            </w:pPr>
            <w:r>
              <w:rPr>
                <w:rFonts w:ascii="Aptos" w:hAnsi="Aptos"/>
                <w:sz w:val="14"/>
              </w:rPr>
              <w:t>Share only common concepts. Keep provider-native parent IDs and typed extensions.</w:t>
            </w:r>
          </w:p>
        </w:tc>
      </w:tr>
      <w:tr>
        <w:trPr>
          <w:cantSplit/>
        </w:trPr>
        <w:tc>
          <w:tcPr>
            <w:tcW w:type="dxa" w:w="1512"/>
            <w:vAlign w:val="top"/>
            <w:tcMar>
              <w:top w:w="70" w:type="dxa"/>
              <w:start w:w="90" w:type="dxa"/>
              <w:bottom w:w="70" w:type="dxa"/>
              <w:end w:w="90" w:type="dxa"/>
            </w:tcMar>
            <w:shd w:fill="F5F8FA"/>
          </w:tcPr>
          <w:p>
            <w:pPr>
              <w:spacing w:after="20"/>
            </w:pPr>
            <w:r>
              <w:rPr>
                <w:rFonts w:ascii="Aptos" w:hAnsi="Aptos"/>
                <w:sz w:val="14"/>
              </w:rPr>
              <w:t>Read/query model</w:t>
            </w:r>
          </w:p>
        </w:tc>
        <w:tc>
          <w:tcPr>
            <w:tcW w:type="dxa" w:w="2232"/>
            <w:vAlign w:val="top"/>
            <w:tcMar>
              <w:top w:w="70" w:type="dxa"/>
              <w:start w:w="90" w:type="dxa"/>
              <w:bottom w:w="70" w:type="dxa"/>
              <w:end w:w="90" w:type="dxa"/>
            </w:tcMar>
            <w:shd w:fill="F5F8FA"/>
          </w:tcPr>
          <w:p>
            <w:pPr>
              <w:spacing w:after="20"/>
            </w:pPr>
            <w:r>
              <w:rPr>
                <w:rFonts w:ascii="Aptos" w:hAnsi="Aptos"/>
                <w:sz w:val="14"/>
              </w:rPr>
              <w:t>GAQL SELECT/FROM/WHERE; Search/SearchStream; fields and segments must be compatible.</w:t>
            </w:r>
          </w:p>
        </w:tc>
        <w:tc>
          <w:tcPr>
            <w:tcW w:type="dxa" w:w="2232"/>
            <w:vAlign w:val="top"/>
            <w:tcMar>
              <w:top w:w="70" w:type="dxa"/>
              <w:start w:w="90" w:type="dxa"/>
              <w:bottom w:w="70" w:type="dxa"/>
              <w:end w:w="90" w:type="dxa"/>
            </w:tcMar>
            <w:shd w:fill="F5F8FA"/>
          </w:tcPr>
          <w:p>
            <w:pPr>
              <w:spacing w:after="20"/>
            </w:pPr>
            <w:r>
              <w:rPr>
                <w:rFonts w:ascii="Aptos" w:hAnsi="Aptos"/>
                <w:sz w:val="14"/>
              </w:rPr>
              <w:t>Graph API object/edge/fields plus Insights parameters, levels, breakdowns and paging.</w:t>
            </w:r>
          </w:p>
        </w:tc>
        <w:tc>
          <w:tcPr>
            <w:tcW w:type="dxa" w:w="3168"/>
            <w:vAlign w:val="top"/>
            <w:tcMar>
              <w:top w:w="70" w:type="dxa"/>
              <w:start w:w="90" w:type="dxa"/>
              <w:bottom w:w="70" w:type="dxa"/>
              <w:end w:w="90" w:type="dxa"/>
            </w:tcMar>
            <w:shd w:fill="F5F8FA"/>
          </w:tcPr>
          <w:p>
            <w:pPr>
              <w:spacing w:after="20"/>
            </w:pPr>
            <w:r>
              <w:rPr>
                <w:rFonts w:ascii="Aptos" w:hAnsi="Aptos"/>
                <w:sz w:val="14"/>
              </w:rPr>
              <w:t>Separate provider query builders; normalize the returned metric records after retrieval.</w:t>
            </w:r>
          </w:p>
        </w:tc>
      </w:tr>
      <w:tr>
        <w:trPr>
          <w:cantSplit/>
        </w:trPr>
        <w:tc>
          <w:tcPr>
            <w:tcW w:type="dxa" w:w="1512"/>
            <w:vAlign w:val="top"/>
            <w:tcMar>
              <w:top w:w="70" w:type="dxa"/>
              <w:start w:w="90" w:type="dxa"/>
              <w:bottom w:w="70" w:type="dxa"/>
              <w:end w:w="90" w:type="dxa"/>
            </w:tcMar>
          </w:tcPr>
          <w:p>
            <w:pPr>
              <w:spacing w:after="20"/>
            </w:pPr>
            <w:r>
              <w:rPr>
                <w:rFonts w:ascii="Aptos" w:hAnsi="Aptos"/>
                <w:sz w:val="14"/>
              </w:rPr>
              <w:t>Mutation semantics</w:t>
            </w:r>
          </w:p>
        </w:tc>
        <w:tc>
          <w:tcPr>
            <w:tcW w:type="dxa" w:w="2232"/>
            <w:vAlign w:val="top"/>
            <w:tcMar>
              <w:top w:w="70" w:type="dxa"/>
              <w:start w:w="90" w:type="dxa"/>
              <w:bottom w:w="70" w:type="dxa"/>
              <w:end w:w="90" w:type="dxa"/>
            </w:tcMar>
          </w:tcPr>
          <w:p>
            <w:pPr>
              <w:spacing w:after="20"/>
            </w:pPr>
            <w:r>
              <w:rPr>
                <w:rFonts w:ascii="Aptos" w:hAnsi="Aptos"/>
                <w:sz w:val="14"/>
              </w:rPr>
              <w:t>Resource-specific mutate endpoints, update masks, validateOnly, partial failure on supported operations.</w:t>
            </w:r>
          </w:p>
        </w:tc>
        <w:tc>
          <w:tcPr>
            <w:tcW w:type="dxa" w:w="2232"/>
            <w:vAlign w:val="top"/>
            <w:tcMar>
              <w:top w:w="70" w:type="dxa"/>
              <w:start w:w="90" w:type="dxa"/>
              <w:bottom w:w="70" w:type="dxa"/>
              <w:end w:w="90" w:type="dxa"/>
            </w:tcMar>
          </w:tcPr>
          <w:p>
            <w:pPr>
              <w:spacing w:after="20"/>
            </w:pPr>
            <w:r>
              <w:rPr>
                <w:rFonts w:ascii="Aptos" w:hAnsi="Aptos"/>
                <w:sz w:val="14"/>
              </w:rPr>
              <w:t>Graph API POST/DELETE on object/edge; endpoint semantics and object requirements vary.</w:t>
            </w:r>
          </w:p>
        </w:tc>
        <w:tc>
          <w:tcPr>
            <w:tcW w:type="dxa" w:w="3168"/>
            <w:vAlign w:val="top"/>
            <w:tcMar>
              <w:top w:w="70" w:type="dxa"/>
              <w:start w:w="90" w:type="dxa"/>
              <w:bottom w:w="70" w:type="dxa"/>
              <w:end w:w="90" w:type="dxa"/>
            </w:tcMar>
          </w:tcPr>
          <w:p>
            <w:pPr>
              <w:spacing w:after="20"/>
            </w:pPr>
            <w:r>
              <w:rPr>
                <w:rFonts w:ascii="Aptos" w:hAnsi="Aptos"/>
                <w:sz w:val="14"/>
              </w:rPr>
              <w:t>Typed action registry, per-operation preview, idempotency and per-item outcome records.</w:t>
            </w:r>
          </w:p>
        </w:tc>
      </w:tr>
      <w:tr>
        <w:trPr>
          <w:cantSplit/>
        </w:trPr>
        <w:tc>
          <w:tcPr>
            <w:tcW w:type="dxa" w:w="1512"/>
            <w:vAlign w:val="top"/>
            <w:tcMar>
              <w:top w:w="70" w:type="dxa"/>
              <w:start w:w="90" w:type="dxa"/>
              <w:bottom w:w="70" w:type="dxa"/>
              <w:end w:w="90" w:type="dxa"/>
            </w:tcMar>
            <w:shd w:fill="F5F8FA"/>
          </w:tcPr>
          <w:p>
            <w:pPr>
              <w:spacing w:after="20"/>
            </w:pPr>
            <w:r>
              <w:rPr>
                <w:rFonts w:ascii="Aptos" w:hAnsi="Aptos"/>
                <w:sz w:val="14"/>
              </w:rPr>
              <w:t>Status</w:t>
            </w:r>
          </w:p>
        </w:tc>
        <w:tc>
          <w:tcPr>
            <w:tcW w:type="dxa" w:w="2232"/>
            <w:vAlign w:val="top"/>
            <w:tcMar>
              <w:top w:w="70" w:type="dxa"/>
              <w:start w:w="90" w:type="dxa"/>
              <w:bottom w:w="70" w:type="dxa"/>
              <w:end w:w="90" w:type="dxa"/>
            </w:tcMar>
            <w:shd w:fill="F5F8FA"/>
          </w:tcPr>
          <w:p>
            <w:pPr>
              <w:spacing w:after="20"/>
            </w:pPr>
            <w:r>
              <w:rPr>
                <w:rFonts w:ascii="Aptos" w:hAnsi="Aptos"/>
                <w:sz w:val="14"/>
              </w:rPr>
              <w:t>Configured statuses coexist with policy/review/effective fields.</w:t>
            </w:r>
          </w:p>
        </w:tc>
        <w:tc>
          <w:tcPr>
            <w:tcW w:type="dxa" w:w="2232"/>
            <w:vAlign w:val="top"/>
            <w:tcMar>
              <w:top w:w="70" w:type="dxa"/>
              <w:start w:w="90" w:type="dxa"/>
              <w:bottom w:w="70" w:type="dxa"/>
              <w:end w:w="90" w:type="dxa"/>
            </w:tcMar>
            <w:shd w:fill="F5F8FA"/>
          </w:tcPr>
          <w:p>
            <w:pPr>
              <w:spacing w:after="20"/>
            </w:pPr>
            <w:r>
              <w:rPr>
                <w:rFonts w:ascii="Aptos" w:hAnsi="Aptos"/>
                <w:sz w:val="14"/>
              </w:rPr>
              <w:t>status and effective_status differ.</w:t>
            </w:r>
          </w:p>
        </w:tc>
        <w:tc>
          <w:tcPr>
            <w:tcW w:type="dxa" w:w="3168"/>
            <w:vAlign w:val="top"/>
            <w:tcMar>
              <w:top w:w="70" w:type="dxa"/>
              <w:start w:w="90" w:type="dxa"/>
              <w:bottom w:w="70" w:type="dxa"/>
              <w:end w:w="90" w:type="dxa"/>
            </w:tcMar>
            <w:shd w:fill="F5F8FA"/>
          </w:tcPr>
          <w:p>
            <w:pPr>
              <w:spacing w:after="20"/>
            </w:pPr>
            <w:r>
              <w:rPr>
                <w:rFonts w:ascii="Aptos" w:hAnsi="Aptos"/>
                <w:sz w:val="14"/>
              </w:rPr>
              <w:t>Store native status fields; derive a cross-platform summary only as a separate field.</w:t>
            </w:r>
          </w:p>
        </w:tc>
      </w:tr>
      <w:tr>
        <w:trPr>
          <w:cantSplit/>
        </w:trPr>
        <w:tc>
          <w:tcPr>
            <w:tcW w:type="dxa" w:w="1512"/>
            <w:vAlign w:val="top"/>
            <w:tcMar>
              <w:top w:w="70" w:type="dxa"/>
              <w:start w:w="90" w:type="dxa"/>
              <w:bottom w:w="70" w:type="dxa"/>
              <w:end w:w="90" w:type="dxa"/>
            </w:tcMar>
          </w:tcPr>
          <w:p>
            <w:pPr>
              <w:spacing w:after="20"/>
            </w:pPr>
            <w:r>
              <w:rPr>
                <w:rFonts w:ascii="Aptos" w:hAnsi="Aptos"/>
                <w:sz w:val="14"/>
              </w:rPr>
              <w:t>Money</w:t>
            </w:r>
          </w:p>
        </w:tc>
        <w:tc>
          <w:tcPr>
            <w:tcW w:type="dxa" w:w="2232"/>
            <w:vAlign w:val="top"/>
            <w:tcMar>
              <w:top w:w="70" w:type="dxa"/>
              <w:start w:w="90" w:type="dxa"/>
              <w:bottom w:w="70" w:type="dxa"/>
              <w:end w:w="90" w:type="dxa"/>
            </w:tcMar>
          </w:tcPr>
          <w:p>
            <w:pPr>
              <w:spacing w:after="20"/>
            </w:pPr>
            <w:r>
              <w:rPr>
                <w:rFonts w:ascii="Aptos" w:hAnsi="Aptos"/>
                <w:sz w:val="14"/>
              </w:rPr>
              <w:t>Many numeric money/metrics fields use micros.</w:t>
            </w:r>
          </w:p>
        </w:tc>
        <w:tc>
          <w:tcPr>
            <w:tcW w:type="dxa" w:w="2232"/>
            <w:vAlign w:val="top"/>
            <w:tcMar>
              <w:top w:w="70" w:type="dxa"/>
              <w:start w:w="90" w:type="dxa"/>
              <w:bottom w:w="70" w:type="dxa"/>
              <w:end w:w="90" w:type="dxa"/>
            </w:tcMar>
          </w:tcPr>
          <w:p>
            <w:pPr>
              <w:spacing w:after="20"/>
            </w:pPr>
            <w:r>
              <w:rPr>
                <w:rFonts w:ascii="Aptos" w:hAnsi="Aptos"/>
                <w:sz w:val="14"/>
              </w:rPr>
              <w:t>Budget/bid fields may use account currency minor units; Insights spend is commonly returned as a numeric string.</w:t>
            </w:r>
          </w:p>
        </w:tc>
        <w:tc>
          <w:tcPr>
            <w:tcW w:type="dxa" w:w="3168"/>
            <w:vAlign w:val="top"/>
            <w:tcMar>
              <w:top w:w="70" w:type="dxa"/>
              <w:start w:w="90" w:type="dxa"/>
              <w:bottom w:w="70" w:type="dxa"/>
              <w:end w:w="90" w:type="dxa"/>
            </w:tcMar>
          </w:tcPr>
          <w:p>
            <w:pPr>
              <w:spacing w:after="20"/>
            </w:pPr>
            <w:r>
              <w:rPr>
                <w:rFonts w:ascii="Aptos" w:hAnsi="Aptos"/>
                <w:sz w:val="14"/>
              </w:rPr>
              <w:t>Preserve account currency and raw provider values, parse explicitly, never sum mixed currencies.</w:t>
            </w:r>
          </w:p>
        </w:tc>
      </w:tr>
      <w:tr>
        <w:trPr>
          <w:cantSplit/>
        </w:trPr>
        <w:tc>
          <w:tcPr>
            <w:tcW w:type="dxa" w:w="1512"/>
            <w:vAlign w:val="top"/>
            <w:tcMar>
              <w:top w:w="70" w:type="dxa"/>
              <w:start w:w="90" w:type="dxa"/>
              <w:bottom w:w="70" w:type="dxa"/>
              <w:end w:w="90" w:type="dxa"/>
            </w:tcMar>
            <w:shd w:fill="F5F8FA"/>
          </w:tcPr>
          <w:p>
            <w:pPr>
              <w:spacing w:after="20"/>
            </w:pPr>
            <w:r>
              <w:rPr>
                <w:rFonts w:ascii="Aptos" w:hAnsi="Aptos"/>
                <w:sz w:val="14"/>
              </w:rPr>
              <w:t>Reporting and attribution</w:t>
            </w:r>
          </w:p>
        </w:tc>
        <w:tc>
          <w:tcPr>
            <w:tcW w:type="dxa" w:w="2232"/>
            <w:vAlign w:val="top"/>
            <w:tcMar>
              <w:top w:w="70" w:type="dxa"/>
              <w:start w:w="90" w:type="dxa"/>
              <w:bottom w:w="70" w:type="dxa"/>
              <w:end w:w="90" w:type="dxa"/>
            </w:tcMar>
            <w:shd w:fill="F5F8FA"/>
          </w:tcPr>
          <w:p>
            <w:pPr>
              <w:spacing w:after="20"/>
            </w:pPr>
            <w:r>
              <w:rPr>
                <w:rFonts w:ascii="Aptos" w:hAnsi="Aptos"/>
                <w:sz w:val="14"/>
              </w:rPr>
              <w:t>GAQL metrics/segments and conversion-action setup determine reported conversions.</w:t>
            </w:r>
          </w:p>
        </w:tc>
        <w:tc>
          <w:tcPr>
            <w:tcW w:type="dxa" w:w="2232"/>
            <w:vAlign w:val="top"/>
            <w:tcMar>
              <w:top w:w="70" w:type="dxa"/>
              <w:start w:w="90" w:type="dxa"/>
              <w:bottom w:w="70" w:type="dxa"/>
              <w:end w:w="90" w:type="dxa"/>
            </w:tcMar>
            <w:shd w:fill="F5F8FA"/>
          </w:tcPr>
          <w:p>
            <w:pPr>
              <w:spacing w:after="20"/>
            </w:pPr>
            <w:r>
              <w:rPr>
                <w:rFonts w:ascii="Aptos" w:hAnsi="Aptos"/>
                <w:sz w:val="14"/>
              </w:rPr>
              <w:t>Insights level, fields, attribution settings and breakdowns determine results.</w:t>
            </w:r>
          </w:p>
        </w:tc>
        <w:tc>
          <w:tcPr>
            <w:tcW w:type="dxa" w:w="3168"/>
            <w:vAlign w:val="top"/>
            <w:tcMar>
              <w:top w:w="70" w:type="dxa"/>
              <w:start w:w="90" w:type="dxa"/>
              <w:bottom w:w="70" w:type="dxa"/>
              <w:end w:w="90" w:type="dxa"/>
            </w:tcMar>
            <w:shd w:fill="F5F8FA"/>
          </w:tcPr>
          <w:p>
            <w:pPr>
              <w:spacing w:after="20"/>
            </w:pPr>
            <w:r>
              <w:rPr>
                <w:rFonts w:ascii="Aptos" w:hAnsi="Aptos"/>
                <w:sz w:val="14"/>
              </w:rPr>
              <w:t>Metric dictionary, source attribution metadata, time zone, freshness and definition labels.</w:t>
            </w:r>
          </w:p>
        </w:tc>
      </w:tr>
      <w:tr>
        <w:trPr>
          <w:cantSplit/>
        </w:trPr>
        <w:tc>
          <w:tcPr>
            <w:tcW w:type="dxa" w:w="1512"/>
            <w:vAlign w:val="top"/>
            <w:tcMar>
              <w:top w:w="70" w:type="dxa"/>
              <w:start w:w="90" w:type="dxa"/>
              <w:bottom w:w="70" w:type="dxa"/>
              <w:end w:w="90" w:type="dxa"/>
            </w:tcMar>
          </w:tcPr>
          <w:p>
            <w:pPr>
              <w:spacing w:after="20"/>
            </w:pPr>
            <w:r>
              <w:rPr>
                <w:rFonts w:ascii="Aptos" w:hAnsi="Aptos"/>
                <w:sz w:val="14"/>
              </w:rPr>
              <w:t>Audience model</w:t>
            </w:r>
          </w:p>
        </w:tc>
        <w:tc>
          <w:tcPr>
            <w:tcW w:type="dxa" w:w="2232"/>
            <w:vAlign w:val="top"/>
            <w:tcMar>
              <w:top w:w="70" w:type="dxa"/>
              <w:start w:w="90" w:type="dxa"/>
              <w:bottom w:w="70" w:type="dxa"/>
              <w:end w:w="90" w:type="dxa"/>
            </w:tcMar>
          </w:tcPr>
          <w:p>
            <w:pPr>
              <w:spacing w:after="20"/>
            </w:pPr>
            <w:r>
              <w:rPr>
                <w:rFonts w:ascii="Aptos" w:hAnsi="Aptos"/>
                <w:sz w:val="14"/>
              </w:rPr>
              <w:t>UserList, Audience, Customer Match/Data Manager flows; campaign-type-specific targeting.</w:t>
            </w:r>
          </w:p>
        </w:tc>
        <w:tc>
          <w:tcPr>
            <w:tcW w:type="dxa" w:w="2232"/>
            <w:vAlign w:val="top"/>
            <w:tcMar>
              <w:top w:w="70" w:type="dxa"/>
              <w:start w:w="90" w:type="dxa"/>
              <w:bottom w:w="70" w:type="dxa"/>
              <w:end w:w="90" w:type="dxa"/>
            </w:tcMar>
          </w:tcPr>
          <w:p>
            <w:pPr>
              <w:spacing w:after="20"/>
            </w:pPr>
            <w:r>
              <w:rPr>
                <w:rFonts w:ascii="Aptos" w:hAnsi="Aptos"/>
                <w:sz w:val="14"/>
              </w:rPr>
              <w:t>Custom/saved/lookalike audiences and ad-set targeting; permission and policy restrictions.</w:t>
            </w:r>
          </w:p>
        </w:tc>
        <w:tc>
          <w:tcPr>
            <w:tcW w:type="dxa" w:w="3168"/>
            <w:vAlign w:val="top"/>
            <w:tcMar>
              <w:top w:w="70" w:type="dxa"/>
              <w:start w:w="90" w:type="dxa"/>
              <w:bottom w:w="70" w:type="dxa"/>
              <w:end w:w="90" w:type="dxa"/>
            </w:tcMar>
          </w:tcPr>
          <w:p>
            <w:pPr>
              <w:spacing w:after="20"/>
            </w:pPr>
            <w:r>
              <w:rPr>
                <w:rFonts w:ascii="Aptos" w:hAnsi="Aptos"/>
                <w:sz w:val="14"/>
              </w:rPr>
              <w:t>Separate audience adapters and consent/policy checks; no false assumption of identical audiences.</w:t>
            </w:r>
          </w:p>
        </w:tc>
      </w:tr>
      <w:tr>
        <w:trPr>
          <w:cantSplit/>
        </w:trPr>
        <w:tc>
          <w:tcPr>
            <w:tcW w:type="dxa" w:w="1512"/>
            <w:vAlign w:val="top"/>
            <w:tcMar>
              <w:top w:w="70" w:type="dxa"/>
              <w:start w:w="90" w:type="dxa"/>
              <w:bottom w:w="70" w:type="dxa"/>
              <w:end w:w="90" w:type="dxa"/>
            </w:tcMar>
            <w:shd w:fill="F5F8FA"/>
          </w:tcPr>
          <w:p>
            <w:pPr>
              <w:spacing w:after="20"/>
            </w:pPr>
            <w:r>
              <w:rPr>
                <w:rFonts w:ascii="Aptos" w:hAnsi="Aptos"/>
                <w:sz w:val="14"/>
              </w:rPr>
              <w:t>Billing</w:t>
            </w:r>
          </w:p>
        </w:tc>
        <w:tc>
          <w:tcPr>
            <w:tcW w:type="dxa" w:w="2232"/>
            <w:vAlign w:val="top"/>
            <w:tcMar>
              <w:top w:w="70" w:type="dxa"/>
              <w:start w:w="90" w:type="dxa"/>
              <w:bottom w:w="70" w:type="dxa"/>
              <w:end w:w="90" w:type="dxa"/>
            </w:tcMar>
            <w:shd w:fill="F5F8FA"/>
          </w:tcPr>
          <w:p>
            <w:pPr>
              <w:spacing w:after="20"/>
            </w:pPr>
            <w:r>
              <w:rPr>
                <w:rFonts w:ascii="Aptos" w:hAnsi="Aptos"/>
                <w:sz w:val="14"/>
              </w:rPr>
              <w:t>Google Ads billing setup/invoice/account-budget services with eligibility limits.</w:t>
            </w:r>
          </w:p>
        </w:tc>
        <w:tc>
          <w:tcPr>
            <w:tcW w:type="dxa" w:w="2232"/>
            <w:vAlign w:val="top"/>
            <w:tcMar>
              <w:top w:w="70" w:type="dxa"/>
              <w:start w:w="90" w:type="dxa"/>
              <w:bottom w:w="70" w:type="dxa"/>
              <w:end w:w="90" w:type="dxa"/>
            </w:tcMar>
            <w:shd w:fill="F5F8FA"/>
          </w:tcPr>
          <w:p>
            <w:pPr>
              <w:spacing w:after="20"/>
            </w:pPr>
            <w:r>
              <w:rPr>
                <w:rFonts w:ascii="Aptos" w:hAnsi="Aptos"/>
                <w:sz w:val="14"/>
              </w:rPr>
              <w:t>Provider-specific ad-account billing/spending features and Ad Set billing_event.</w:t>
            </w:r>
          </w:p>
        </w:tc>
        <w:tc>
          <w:tcPr>
            <w:tcW w:type="dxa" w:w="3168"/>
            <w:vAlign w:val="top"/>
            <w:tcMar>
              <w:top w:w="70" w:type="dxa"/>
              <w:start w:w="90" w:type="dxa"/>
              <w:bottom w:w="70" w:type="dxa"/>
              <w:end w:w="90" w:type="dxa"/>
            </w:tcMar>
            <w:shd w:fill="F5F8FA"/>
          </w:tcPr>
          <w:p>
            <w:pPr>
              <w:spacing w:after="20"/>
            </w:pPr>
            <w:r>
              <w:rPr>
                <w:rFonts w:ascii="Aptos" w:hAnsi="Aptos"/>
                <w:sz w:val="14"/>
              </w:rPr>
              <w:t>Keep platform subscription billing separate from advertiser ad-account billing.</w:t>
            </w:r>
          </w:p>
        </w:tc>
      </w:tr>
      <w:tr>
        <w:trPr>
          <w:cantSplit/>
        </w:trPr>
        <w:tc>
          <w:tcPr>
            <w:tcW w:type="dxa" w:w="1512"/>
            <w:vAlign w:val="top"/>
            <w:tcMar>
              <w:top w:w="70" w:type="dxa"/>
              <w:start w:w="90" w:type="dxa"/>
              <w:bottom w:w="70" w:type="dxa"/>
              <w:end w:w="90" w:type="dxa"/>
            </w:tcMar>
          </w:tcPr>
          <w:p>
            <w:pPr>
              <w:spacing w:after="20"/>
            </w:pPr>
            <w:r>
              <w:rPr>
                <w:rFonts w:ascii="Aptos" w:hAnsi="Aptos"/>
                <w:sz w:val="14"/>
              </w:rPr>
              <w:t>API access</w:t>
            </w:r>
          </w:p>
        </w:tc>
        <w:tc>
          <w:tcPr>
            <w:tcW w:type="dxa" w:w="2232"/>
            <w:vAlign w:val="top"/>
            <w:tcMar>
              <w:top w:w="70" w:type="dxa"/>
              <w:start w:w="90" w:type="dxa"/>
              <w:bottom w:w="70" w:type="dxa"/>
              <w:end w:w="90" w:type="dxa"/>
            </w:tcMar>
          </w:tcPr>
          <w:p>
            <w:pPr>
              <w:spacing w:after="20"/>
            </w:pPr>
            <w:r>
              <w:rPr>
                <w:rFonts w:ascii="Aptos" w:hAnsi="Aptos"/>
                <w:sz w:val="14"/>
              </w:rPr>
              <w:t>As of Sep 9 2026, core Google Ads API access levels are associated with Google Cloud projects; developer tokens were sunset.</w:t>
            </w:r>
          </w:p>
        </w:tc>
        <w:tc>
          <w:tcPr>
            <w:tcW w:type="dxa" w:w="2232"/>
            <w:vAlign w:val="top"/>
            <w:tcMar>
              <w:top w:w="70" w:type="dxa"/>
              <w:start w:w="90" w:type="dxa"/>
              <w:bottom w:w="70" w:type="dxa"/>
              <w:end w:w="90" w:type="dxa"/>
            </w:tcMar>
          </w:tcPr>
          <w:p>
            <w:pPr>
              <w:spacing w:after="20"/>
            </w:pPr>
            <w:r>
              <w:rPr>
                <w:rFonts w:ascii="Aptos" w:hAnsi="Aptos"/>
                <w:sz w:val="14"/>
              </w:rPr>
              <w:t>Marketing API permissions and Marketing API Access Tier are distinct controls.</w:t>
            </w:r>
          </w:p>
        </w:tc>
        <w:tc>
          <w:tcPr>
            <w:tcW w:type="dxa" w:w="3168"/>
            <w:vAlign w:val="top"/>
            <w:tcMar>
              <w:top w:w="70" w:type="dxa"/>
              <w:start w:w="90" w:type="dxa"/>
              <w:bottom w:w="70" w:type="dxa"/>
              <w:end w:w="90" w:type="dxa"/>
            </w:tcMar>
          </w:tcPr>
          <w:p>
            <w:pPr>
              <w:spacing w:after="20"/>
            </w:pPr>
            <w:r>
              <w:rPr>
                <w:rFonts w:ascii="Aptos" w:hAnsi="Aptos"/>
                <w:sz w:val="14"/>
              </w:rPr>
              <w:t>Maintain provider-access readiness status and feature entitlement per app/account.</w:t>
            </w:r>
          </w:p>
        </w:tc>
      </w:tr>
    </w:tbl>
    <w:p>
      <w:pPr>
        <w:spacing w:after="20"/>
      </w:pPr>
    </w:p>
    <w:p>
      <w:r>
        <w:br w:type="page"/>
      </w:r>
    </w:p>
    <w:p>
      <w:pPr>
        <w:pStyle w:val="Heading1"/>
      </w:pPr>
      <w:r>
        <w:t>5.1 “One request” — what is actually achievable?</w:t>
      </w:r>
    </w:p>
    <w:p>
      <w:r>
        <w:t>Yes: your frontend can send one request to your own orchestration endpoint containing multiple explicitly typed actions, for example pausing selected Google and Meta campaigns. The backend then dispatches to each provider adapter, validates access and feature capability, queues or executes the provider calls, and returns one aggregate response.</w:t>
      </w:r>
    </w:p>
    <w:p>
      <w:r>
        <w:t>No: this does not become one atomic native API call. Google and Meta are separate systems. One may succeed while the other fails or is throttled; the result must list each action’s status and allow safe reconciliation. Avoid a generic public proxy that accepts arbitrary provider URLs/methods.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7365D"/>
            <w:vAlign w:val="center"/>
            <w:tcMar>
              <w:top w:w="70" w:type="dxa"/>
              <w:start w:w="90" w:type="dxa"/>
              <w:bottom w:w="70" w:type="dxa"/>
              <w:end w:w="90" w:type="dxa"/>
            </w:tcMar>
          </w:tcPr>
          <w:p>
            <w:pPr>
              <w:spacing w:after="0"/>
            </w:pPr>
            <w:r>
              <w:rPr>
                <w:b/>
                <w:color w:val="FFFFFF"/>
                <w:sz w:val="16"/>
              </w:rPr>
              <w:t>Example action request field</w:t>
            </w:r>
          </w:p>
        </w:tc>
        <w:tc>
          <w:tcPr>
            <w:tcW w:type="dxa" w:w="6192"/>
            <w:shd w:fill="17365D"/>
            <w:vAlign w:val="center"/>
            <w:tcMar>
              <w:top w:w="70" w:type="dxa"/>
              <w:start w:w="90" w:type="dxa"/>
              <w:bottom w:w="70" w:type="dxa"/>
              <w:end w:w="90" w:type="dxa"/>
            </w:tcMar>
          </w:tcPr>
          <w:p>
            <w:pPr>
              <w:spacing w:after="0"/>
            </w:pPr>
            <w:r>
              <w:rPr>
                <w:b/>
                <w:color w:val="FFFFFF"/>
                <w:sz w:val="16"/>
              </w:rPr>
              <w:t>Why it is needed</w:t>
            </w:r>
          </w:p>
        </w:tc>
      </w:tr>
      <w:tr>
        <w:trPr>
          <w:cantSplit/>
        </w:trPr>
        <w:tc>
          <w:tcPr>
            <w:tcW w:type="dxa" w:w="2880"/>
            <w:vAlign w:val="top"/>
            <w:tcMar>
              <w:top w:w="70" w:type="dxa"/>
              <w:start w:w="90" w:type="dxa"/>
              <w:bottom w:w="70" w:type="dxa"/>
              <w:end w:w="90" w:type="dxa"/>
            </w:tcMar>
          </w:tcPr>
          <w:p>
            <w:pPr>
              <w:spacing w:after="20"/>
            </w:pPr>
            <w:r>
              <w:rPr>
                <w:rFonts w:ascii="Aptos" w:hAnsi="Aptos"/>
                <w:sz w:val="16"/>
              </w:rPr>
              <w:t>provider + account connection</w:t>
            </w:r>
          </w:p>
        </w:tc>
        <w:tc>
          <w:tcPr>
            <w:tcW w:type="dxa" w:w="6192"/>
            <w:vAlign w:val="top"/>
            <w:tcMar>
              <w:top w:w="70" w:type="dxa"/>
              <w:start w:w="90" w:type="dxa"/>
              <w:bottom w:w="70" w:type="dxa"/>
              <w:end w:w="90" w:type="dxa"/>
            </w:tcMar>
          </w:tcPr>
          <w:p>
            <w:pPr>
              <w:spacing w:after="20"/>
            </w:pPr>
            <w:r>
              <w:rPr>
                <w:rFonts w:ascii="Aptos" w:hAnsi="Aptos"/>
                <w:sz w:val="16"/>
              </w:rPr>
              <w:t>Selects the provider adapter and the tenant-owned credential/account.</w:t>
            </w:r>
          </w:p>
        </w:tc>
      </w:tr>
      <w:tr>
        <w:trPr>
          <w:cantSplit/>
        </w:trPr>
        <w:tc>
          <w:tcPr>
            <w:tcW w:type="dxa" w:w="2880"/>
            <w:vAlign w:val="top"/>
            <w:tcMar>
              <w:top w:w="70" w:type="dxa"/>
              <w:start w:w="90" w:type="dxa"/>
              <w:bottom w:w="70" w:type="dxa"/>
              <w:end w:w="90" w:type="dxa"/>
            </w:tcMar>
            <w:shd w:fill="F5F8FA"/>
          </w:tcPr>
          <w:p>
            <w:pPr>
              <w:spacing w:after="20"/>
            </w:pPr>
            <w:r>
              <w:rPr>
                <w:rFonts w:ascii="Aptos" w:hAnsi="Aptos"/>
                <w:sz w:val="16"/>
              </w:rPr>
              <w:t>resource + operation</w:t>
            </w:r>
          </w:p>
        </w:tc>
        <w:tc>
          <w:tcPr>
            <w:tcW w:type="dxa" w:w="6192"/>
            <w:vAlign w:val="top"/>
            <w:tcMar>
              <w:top w:w="70" w:type="dxa"/>
              <w:start w:w="90" w:type="dxa"/>
              <w:bottom w:w="70" w:type="dxa"/>
              <w:end w:w="90" w:type="dxa"/>
            </w:tcMar>
            <w:shd w:fill="F5F8FA"/>
          </w:tcPr>
          <w:p>
            <w:pPr>
              <w:spacing w:after="20"/>
            </w:pPr>
            <w:r>
              <w:rPr>
                <w:rFonts w:ascii="Aptos" w:hAnsi="Aptos"/>
                <w:sz w:val="16"/>
              </w:rPr>
              <w:t>An allowlisted action such as campaign.pause, not an arbitrary method string forwarded without validation.</w:t>
            </w:r>
          </w:p>
        </w:tc>
      </w:tr>
      <w:tr>
        <w:trPr>
          <w:cantSplit/>
        </w:trPr>
        <w:tc>
          <w:tcPr>
            <w:tcW w:type="dxa" w:w="2880"/>
            <w:vAlign w:val="top"/>
            <w:tcMar>
              <w:top w:w="70" w:type="dxa"/>
              <w:start w:w="90" w:type="dxa"/>
              <w:bottom w:w="70" w:type="dxa"/>
              <w:end w:w="90" w:type="dxa"/>
            </w:tcMar>
          </w:tcPr>
          <w:p>
            <w:pPr>
              <w:spacing w:after="20"/>
            </w:pPr>
            <w:r>
              <w:rPr>
                <w:rFonts w:ascii="Aptos" w:hAnsi="Aptos"/>
                <w:sz w:val="16"/>
              </w:rPr>
              <w:t>resourceId + typed payload</w:t>
            </w:r>
          </w:p>
        </w:tc>
        <w:tc>
          <w:tcPr>
            <w:tcW w:type="dxa" w:w="6192"/>
            <w:vAlign w:val="top"/>
            <w:tcMar>
              <w:top w:w="70" w:type="dxa"/>
              <w:start w:w="90" w:type="dxa"/>
              <w:bottom w:w="70" w:type="dxa"/>
              <w:end w:w="90" w:type="dxa"/>
            </w:tcMar>
          </w:tcPr>
          <w:p>
            <w:pPr>
              <w:spacing w:after="20"/>
            </w:pPr>
            <w:r>
              <w:rPr>
                <w:rFonts w:ascii="Aptos" w:hAnsi="Aptos"/>
                <w:sz w:val="16"/>
              </w:rPr>
              <w:t>Identifies the native object and the exact fields that may be changed.</w:t>
            </w:r>
          </w:p>
        </w:tc>
      </w:tr>
      <w:tr>
        <w:trPr>
          <w:cantSplit/>
        </w:trPr>
        <w:tc>
          <w:tcPr>
            <w:tcW w:type="dxa" w:w="2880"/>
            <w:vAlign w:val="top"/>
            <w:tcMar>
              <w:top w:w="70" w:type="dxa"/>
              <w:start w:w="90" w:type="dxa"/>
              <w:bottom w:w="70" w:type="dxa"/>
              <w:end w:w="90" w:type="dxa"/>
            </w:tcMar>
            <w:shd w:fill="F5F8FA"/>
          </w:tcPr>
          <w:p>
            <w:pPr>
              <w:spacing w:after="20"/>
            </w:pPr>
            <w:r>
              <w:rPr>
                <w:rFonts w:ascii="Aptos" w:hAnsi="Aptos"/>
                <w:sz w:val="16"/>
              </w:rPr>
              <w:t>dryRun/preview + confirmation</w:t>
            </w:r>
          </w:p>
        </w:tc>
        <w:tc>
          <w:tcPr>
            <w:tcW w:type="dxa" w:w="6192"/>
            <w:vAlign w:val="top"/>
            <w:tcMar>
              <w:top w:w="70" w:type="dxa"/>
              <w:start w:w="90" w:type="dxa"/>
              <w:bottom w:w="70" w:type="dxa"/>
              <w:end w:w="90" w:type="dxa"/>
            </w:tcMar>
            <w:shd w:fill="F5F8FA"/>
          </w:tcPr>
          <w:p>
            <w:pPr>
              <w:spacing w:after="20"/>
            </w:pPr>
            <w:r>
              <w:rPr>
                <w:rFonts w:ascii="Aptos" w:hAnsi="Aptos"/>
                <w:sz w:val="16"/>
              </w:rPr>
              <w:t>Prevents accidental spend and exposes provider validation before writes.</w:t>
            </w:r>
          </w:p>
        </w:tc>
      </w:tr>
      <w:tr>
        <w:trPr>
          <w:cantSplit/>
        </w:trPr>
        <w:tc>
          <w:tcPr>
            <w:tcW w:type="dxa" w:w="2880"/>
            <w:vAlign w:val="top"/>
            <w:tcMar>
              <w:top w:w="70" w:type="dxa"/>
              <w:start w:w="90" w:type="dxa"/>
              <w:bottom w:w="70" w:type="dxa"/>
              <w:end w:w="90" w:type="dxa"/>
            </w:tcMar>
          </w:tcPr>
          <w:p>
            <w:pPr>
              <w:spacing w:after="20"/>
            </w:pPr>
            <w:r>
              <w:rPr>
                <w:rFonts w:ascii="Aptos" w:hAnsi="Aptos"/>
                <w:sz w:val="16"/>
              </w:rPr>
              <w:t>idempotency key + operation ID</w:t>
            </w:r>
          </w:p>
        </w:tc>
        <w:tc>
          <w:tcPr>
            <w:tcW w:type="dxa" w:w="6192"/>
            <w:vAlign w:val="top"/>
            <w:tcMar>
              <w:top w:w="70" w:type="dxa"/>
              <w:start w:w="90" w:type="dxa"/>
              <w:bottom w:w="70" w:type="dxa"/>
              <w:end w:w="90" w:type="dxa"/>
            </w:tcMar>
          </w:tcPr>
          <w:p>
            <w:pPr>
              <w:spacing w:after="20"/>
            </w:pPr>
            <w:r>
              <w:rPr>
                <w:rFonts w:ascii="Aptos" w:hAnsi="Aptos"/>
                <w:sz w:val="16"/>
              </w:rPr>
              <w:t>Avoids duplicate create jobs and tracks execution across retries.</w:t>
            </w:r>
          </w:p>
        </w:tc>
      </w:tr>
      <w:tr>
        <w:trPr>
          <w:cantSplit/>
        </w:trPr>
        <w:tc>
          <w:tcPr>
            <w:tcW w:type="dxa" w:w="2880"/>
            <w:vAlign w:val="top"/>
            <w:tcMar>
              <w:top w:w="70" w:type="dxa"/>
              <w:start w:w="90" w:type="dxa"/>
              <w:bottom w:w="70" w:type="dxa"/>
              <w:end w:w="90" w:type="dxa"/>
            </w:tcMar>
            <w:shd w:fill="F5F8FA"/>
          </w:tcPr>
          <w:p>
            <w:pPr>
              <w:spacing w:after="20"/>
            </w:pPr>
            <w:r>
              <w:rPr>
                <w:rFonts w:ascii="Aptos" w:hAnsi="Aptos"/>
                <w:sz w:val="16"/>
              </w:rPr>
              <w:t>per-action result + provider request ID</w:t>
            </w:r>
          </w:p>
        </w:tc>
        <w:tc>
          <w:tcPr>
            <w:tcW w:type="dxa" w:w="6192"/>
            <w:vAlign w:val="top"/>
            <w:tcMar>
              <w:top w:w="70" w:type="dxa"/>
              <w:start w:w="90" w:type="dxa"/>
              <w:bottom w:w="70" w:type="dxa"/>
              <w:end w:w="90" w:type="dxa"/>
            </w:tcMar>
            <w:shd w:fill="F5F8FA"/>
          </w:tcPr>
          <w:p>
            <w:pPr>
              <w:spacing w:after="20"/>
            </w:pPr>
            <w:r>
              <w:rPr>
                <w:rFonts w:ascii="Aptos" w:hAnsi="Aptos"/>
                <w:sz w:val="16"/>
              </w:rPr>
              <w:t>Makes partial success, error recovery and support/audit possible.</w:t>
            </w:r>
          </w:p>
        </w:tc>
      </w:tr>
    </w:tbl>
    <w:p>
      <w:pPr>
        <w:spacing w:after="20"/>
      </w:pPr>
    </w:p>
    <w:p>
      <w:pPr>
        <w:pStyle w:val="Heading1"/>
      </w:pPr>
      <w:r>
        <w:t>6. SaaS foundation gaps and security priorities</w:t>
      </w:r>
    </w:p>
    <w:p>
      <w:pPr>
        <w:pStyle w:val="Heading1"/>
      </w:pPr>
      <w:r>
        <w:t>6.1 P0 — fix before exposing to external users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592"/>
            <w:shd w:fill="17365D"/>
            <w:vAlign w:val="center"/>
            <w:tcMar>
              <w:top w:w="70" w:type="dxa"/>
              <w:start w:w="90" w:type="dxa"/>
              <w:bottom w:w="70" w:type="dxa"/>
              <w:end w:w="90" w:type="dxa"/>
            </w:tcMar>
          </w:tcPr>
          <w:p>
            <w:pPr>
              <w:spacing w:after="0"/>
            </w:pPr>
            <w:r>
              <w:rPr>
                <w:b/>
                <w:color w:val="FFFFFF"/>
                <w:sz w:val="15"/>
              </w:rPr>
              <w:t>Finding in ZIP</w:t>
            </w:r>
          </w:p>
        </w:tc>
        <w:tc>
          <w:tcPr>
            <w:tcW w:type="dxa" w:w="2376"/>
            <w:shd w:fill="17365D"/>
            <w:vAlign w:val="center"/>
            <w:tcMar>
              <w:top w:w="70" w:type="dxa"/>
              <w:start w:w="90" w:type="dxa"/>
              <w:bottom w:w="70" w:type="dxa"/>
              <w:end w:w="90" w:type="dxa"/>
            </w:tcMar>
          </w:tcPr>
          <w:p>
            <w:pPr>
              <w:spacing w:after="0"/>
            </w:pPr>
            <w:r>
              <w:rPr>
                <w:b/>
                <w:color w:val="FFFFFF"/>
                <w:sz w:val="15"/>
              </w:rPr>
              <w:t>Risk</w:t>
            </w:r>
          </w:p>
        </w:tc>
        <w:tc>
          <w:tcPr>
            <w:tcW w:type="dxa" w:w="4104"/>
            <w:shd w:fill="17365D"/>
            <w:vAlign w:val="center"/>
            <w:tcMar>
              <w:top w:w="70" w:type="dxa"/>
              <w:start w:w="90" w:type="dxa"/>
              <w:bottom w:w="70" w:type="dxa"/>
              <w:end w:w="90" w:type="dxa"/>
            </w:tcMar>
          </w:tcPr>
          <w:p>
            <w:pPr>
              <w:spacing w:after="0"/>
            </w:pPr>
            <w:r>
              <w:rPr>
                <w:b/>
                <w:color w:val="FFFFFF"/>
                <w:sz w:val="15"/>
              </w:rPr>
              <w:t>Required work</w:t>
            </w:r>
          </w:p>
        </w:tc>
      </w:tr>
      <w:tr>
        <w:trPr>
          <w:cantSplit/>
        </w:trPr>
        <w:tc>
          <w:tcPr>
            <w:tcW w:type="dxa" w:w="2592"/>
            <w:vAlign w:val="top"/>
            <w:tcMar>
              <w:top w:w="70" w:type="dxa"/>
              <w:start w:w="90" w:type="dxa"/>
              <w:bottom w:w="70" w:type="dxa"/>
              <w:end w:w="90" w:type="dxa"/>
            </w:tcMar>
          </w:tcPr>
          <w:p>
            <w:pPr>
              <w:spacing w:after="20"/>
            </w:pPr>
            <w:r>
              <w:rPr>
                <w:rFonts w:ascii="Aptos" w:hAnsi="Aptos"/>
                <w:sz w:val="15"/>
              </w:rPr>
              <w:t>Google token JSON is included in the archive.</w:t>
            </w:r>
          </w:p>
        </w:tc>
        <w:tc>
          <w:tcPr>
            <w:tcW w:type="dxa" w:w="2376"/>
            <w:vAlign w:val="top"/>
            <w:tcMar>
              <w:top w:w="70" w:type="dxa"/>
              <w:start w:w="90" w:type="dxa"/>
              <w:bottom w:w="70" w:type="dxa"/>
              <w:end w:w="90" w:type="dxa"/>
            </w:tcMar>
          </w:tcPr>
          <w:p>
            <w:pPr>
              <w:spacing w:after="20"/>
            </w:pPr>
            <w:r>
              <w:rPr>
                <w:rFonts w:ascii="Aptos" w:hAnsi="Aptos"/>
                <w:sz w:val="15"/>
              </w:rPr>
              <w:t>A real token in an archive can be reused while valid.</w:t>
            </w:r>
          </w:p>
        </w:tc>
        <w:tc>
          <w:tcPr>
            <w:tcW w:type="dxa" w:w="4104"/>
            <w:vAlign w:val="top"/>
            <w:tcMar>
              <w:top w:w="70" w:type="dxa"/>
              <w:start w:w="90" w:type="dxa"/>
              <w:bottom w:w="70" w:type="dxa"/>
              <w:end w:w="90" w:type="dxa"/>
            </w:tcMar>
          </w:tcPr>
          <w:p>
            <w:pPr>
              <w:spacing w:after="20"/>
            </w:pPr>
            <w:r>
              <w:rPr>
                <w:rFonts w:ascii="Aptos" w:hAnsi="Aptos"/>
                <w:sz w:val="15"/>
              </w:rPr>
              <w:t>Treat as exposed; revoke/re-authorize if genuine. Remove tokens from source archives and check repository history/other copies.</w:t>
            </w:r>
          </w:p>
        </w:tc>
      </w:tr>
      <w:tr>
        <w:trPr>
          <w:cantSplit/>
        </w:trPr>
        <w:tc>
          <w:tcPr>
            <w:tcW w:type="dxa" w:w="2592"/>
            <w:vAlign w:val="top"/>
            <w:tcMar>
              <w:top w:w="70" w:type="dxa"/>
              <w:start w:w="90" w:type="dxa"/>
              <w:bottom w:w="70" w:type="dxa"/>
              <w:end w:w="90" w:type="dxa"/>
            </w:tcMar>
            <w:shd w:fill="F5F8FA"/>
          </w:tcPr>
          <w:p>
            <w:pPr>
              <w:spacing w:after="20"/>
            </w:pPr>
            <w:r>
              <w:rPr>
                <w:rFonts w:ascii="Aptos" w:hAnsi="Aptos"/>
                <w:sz w:val="15"/>
              </w:rPr>
              <w:t>Meta config logs the raw access token.</w:t>
            </w:r>
          </w:p>
        </w:tc>
        <w:tc>
          <w:tcPr>
            <w:tcW w:type="dxa" w:w="2376"/>
            <w:vAlign w:val="top"/>
            <w:tcMar>
              <w:top w:w="70" w:type="dxa"/>
              <w:start w:w="90" w:type="dxa"/>
              <w:bottom w:w="70" w:type="dxa"/>
              <w:end w:w="90" w:type="dxa"/>
            </w:tcMar>
            <w:shd w:fill="F5F8FA"/>
          </w:tcPr>
          <w:p>
            <w:pPr>
              <w:spacing w:after="20"/>
            </w:pPr>
            <w:r>
              <w:rPr>
                <w:rFonts w:ascii="Aptos" w:hAnsi="Aptos"/>
                <w:sz w:val="15"/>
              </w:rPr>
              <w:t>Credentials can leak into terminal, hosted logs or support output.</w:t>
            </w:r>
          </w:p>
        </w:tc>
        <w:tc>
          <w:tcPr>
            <w:tcW w:type="dxa" w:w="4104"/>
            <w:vAlign w:val="top"/>
            <w:tcMar>
              <w:top w:w="70" w:type="dxa"/>
              <w:start w:w="90" w:type="dxa"/>
              <w:bottom w:w="70" w:type="dxa"/>
              <w:end w:w="90" w:type="dxa"/>
            </w:tcMar>
            <w:shd w:fill="F5F8FA"/>
          </w:tcPr>
          <w:p>
            <w:pPr>
              <w:spacing w:after="20"/>
            </w:pPr>
            <w:r>
              <w:rPr>
                <w:rFonts w:ascii="Aptos" w:hAnsi="Aptos"/>
                <w:sz w:val="15"/>
              </w:rPr>
              <w:t>Remove token logging; redact auth headers and provider error payloads.</w:t>
            </w:r>
          </w:p>
        </w:tc>
      </w:tr>
      <w:tr>
        <w:trPr>
          <w:cantSplit/>
        </w:trPr>
        <w:tc>
          <w:tcPr>
            <w:tcW w:type="dxa" w:w="2592"/>
            <w:vAlign w:val="top"/>
            <w:tcMar>
              <w:top w:w="70" w:type="dxa"/>
              <w:start w:w="90" w:type="dxa"/>
              <w:bottom w:w="70" w:type="dxa"/>
              <w:end w:w="90" w:type="dxa"/>
            </w:tcMar>
          </w:tcPr>
          <w:p>
            <w:pPr>
              <w:spacing w:after="20"/>
            </w:pPr>
            <w:r>
              <w:rPr>
                <w:rFonts w:ascii="Aptos" w:hAnsi="Aptos"/>
                <w:sz w:val="15"/>
              </w:rPr>
              <w:t>Meta OAuth callback writes src/data/token.json, while config.ts reads process.cwd()/data/token.json.</w:t>
            </w:r>
          </w:p>
        </w:tc>
        <w:tc>
          <w:tcPr>
            <w:tcW w:type="dxa" w:w="2376"/>
            <w:vAlign w:val="top"/>
            <w:tcMar>
              <w:top w:w="70" w:type="dxa"/>
              <w:start w:w="90" w:type="dxa"/>
              <w:bottom w:w="70" w:type="dxa"/>
              <w:end w:w="90" w:type="dxa"/>
            </w:tcMar>
          </w:tcPr>
          <w:p>
            <w:pPr>
              <w:spacing w:after="20"/>
            </w:pPr>
            <w:r>
              <w:rPr>
                <w:rFonts w:ascii="Aptos" w:hAnsi="Aptos"/>
                <w:sz w:val="15"/>
              </w:rPr>
              <w:t>OAuth may report success but later routes read a different file.</w:t>
            </w:r>
          </w:p>
        </w:tc>
        <w:tc>
          <w:tcPr>
            <w:tcW w:type="dxa" w:w="4104"/>
            <w:vAlign w:val="top"/>
            <w:tcMar>
              <w:top w:w="70" w:type="dxa"/>
              <w:start w:w="90" w:type="dxa"/>
              <w:bottom w:w="70" w:type="dxa"/>
              <w:end w:w="90" w:type="dxa"/>
            </w:tcMar>
          </w:tcPr>
          <w:p>
            <w:pPr>
              <w:spacing w:after="20"/>
            </w:pPr>
            <w:r>
              <w:rPr>
                <w:rFonts w:ascii="Aptos" w:hAnsi="Aptos"/>
                <w:sz w:val="15"/>
              </w:rPr>
              <w:t>Use one explicit storage abstraction/path during learning; use tenant-linked encrypted DB storage in SaaS.</w:t>
            </w:r>
          </w:p>
        </w:tc>
      </w:tr>
      <w:tr>
        <w:trPr>
          <w:cantSplit/>
        </w:trPr>
        <w:tc>
          <w:tcPr>
            <w:tcW w:type="dxa" w:w="2592"/>
            <w:vAlign w:val="top"/>
            <w:tcMar>
              <w:top w:w="70" w:type="dxa"/>
              <w:start w:w="90" w:type="dxa"/>
              <w:bottom w:w="70" w:type="dxa"/>
              <w:end w:w="90" w:type="dxa"/>
            </w:tcMar>
            <w:shd w:fill="F5F8FA"/>
          </w:tcPr>
          <w:p>
            <w:pPr>
              <w:spacing w:after="20"/>
            </w:pPr>
            <w:r>
              <w:rPr>
                <w:rFonts w:ascii="Aptos" w:hAnsi="Aptos"/>
                <w:sz w:val="15"/>
              </w:rPr>
              <w:t>Both apps use a single global credential file or static configuration.</w:t>
            </w:r>
          </w:p>
        </w:tc>
        <w:tc>
          <w:tcPr>
            <w:tcW w:type="dxa" w:w="2376"/>
            <w:vAlign w:val="top"/>
            <w:tcMar>
              <w:top w:w="70" w:type="dxa"/>
              <w:start w:w="90" w:type="dxa"/>
              <w:bottom w:w="70" w:type="dxa"/>
              <w:end w:w="90" w:type="dxa"/>
            </w:tcMar>
            <w:shd w:fill="F5F8FA"/>
          </w:tcPr>
          <w:p>
            <w:pPr>
              <w:spacing w:after="20"/>
            </w:pPr>
            <w:r>
              <w:rPr>
                <w:rFonts w:ascii="Aptos" w:hAnsi="Aptos"/>
                <w:sz w:val="15"/>
              </w:rPr>
              <w:t>One user’s authorization can overwrite or be reused for another user; no reliable workspace separation.</w:t>
            </w:r>
          </w:p>
        </w:tc>
        <w:tc>
          <w:tcPr>
            <w:tcW w:type="dxa" w:w="4104"/>
            <w:vAlign w:val="top"/>
            <w:tcMar>
              <w:top w:w="70" w:type="dxa"/>
              <w:start w:w="90" w:type="dxa"/>
              <w:bottom w:w="70" w:type="dxa"/>
              <w:end w:w="90" w:type="dxa"/>
            </w:tcMar>
            <w:shd w:fill="F5F8FA"/>
          </w:tcPr>
          <w:p>
            <w:pPr>
              <w:spacing w:after="20"/>
            </w:pPr>
            <w:r>
              <w:rPr>
                <w:rFonts w:ascii="Aptos" w:hAnsi="Aptos"/>
                <w:sz w:val="15"/>
              </w:rPr>
              <w:t>Create provider_connection records linked to organization/user, account ID, permissions, expiry and status.</w:t>
            </w:r>
          </w:p>
        </w:tc>
      </w:tr>
      <w:tr>
        <w:trPr>
          <w:cantSplit/>
        </w:trPr>
        <w:tc>
          <w:tcPr>
            <w:tcW w:type="dxa" w:w="2592"/>
            <w:vAlign w:val="top"/>
            <w:tcMar>
              <w:top w:w="70" w:type="dxa"/>
              <w:start w:w="90" w:type="dxa"/>
              <w:bottom w:w="70" w:type="dxa"/>
              <w:end w:w="90" w:type="dxa"/>
            </w:tcMar>
          </w:tcPr>
          <w:p>
            <w:pPr>
              <w:spacing w:after="20"/>
            </w:pPr>
            <w:r>
              <w:rPr>
                <w:rFonts w:ascii="Aptos" w:hAnsi="Aptos"/>
                <w:sz w:val="15"/>
              </w:rPr>
              <w:t>No application login/tenant authorization layer found in the two supplied servers.</w:t>
            </w:r>
          </w:p>
        </w:tc>
        <w:tc>
          <w:tcPr>
            <w:tcW w:type="dxa" w:w="2376"/>
            <w:vAlign w:val="top"/>
            <w:tcMar>
              <w:top w:w="70" w:type="dxa"/>
              <w:start w:w="90" w:type="dxa"/>
              <w:bottom w:w="70" w:type="dxa"/>
              <w:end w:w="90" w:type="dxa"/>
            </w:tcMar>
          </w:tcPr>
          <w:p>
            <w:pPr>
              <w:spacing w:after="20"/>
            </w:pPr>
            <w:r>
              <w:rPr>
                <w:rFonts w:ascii="Aptos" w:hAnsi="Aptos"/>
                <w:sz w:val="15"/>
              </w:rPr>
              <w:t>Anyone who can reach write routes may be able to invoke management operations.</w:t>
            </w:r>
          </w:p>
        </w:tc>
        <w:tc>
          <w:tcPr>
            <w:tcW w:type="dxa" w:w="4104"/>
            <w:vAlign w:val="top"/>
            <w:tcMar>
              <w:top w:w="70" w:type="dxa"/>
              <w:start w:w="90" w:type="dxa"/>
              <w:bottom w:w="70" w:type="dxa"/>
              <w:end w:w="90" w:type="dxa"/>
            </w:tcMar>
          </w:tcPr>
          <w:p>
            <w:pPr>
              <w:spacing w:after="20"/>
            </w:pPr>
            <w:r>
              <w:rPr>
                <w:rFonts w:ascii="Aptos" w:hAnsi="Aptos"/>
                <w:sz w:val="15"/>
              </w:rPr>
              <w:t>Add user authentication, organization membership and resource-level authorization before exposing write endpoints.</w:t>
            </w:r>
          </w:p>
        </w:tc>
      </w:tr>
      <w:tr>
        <w:trPr>
          <w:cantSplit/>
        </w:trPr>
        <w:tc>
          <w:tcPr>
            <w:tcW w:type="dxa" w:w="2592"/>
            <w:vAlign w:val="top"/>
            <w:tcMar>
              <w:top w:w="70" w:type="dxa"/>
              <w:start w:w="90" w:type="dxa"/>
              <w:bottom w:w="70" w:type="dxa"/>
              <w:end w:w="90" w:type="dxa"/>
            </w:tcMar>
            <w:shd w:fill="F5F8FA"/>
          </w:tcPr>
          <w:p>
            <w:pPr>
              <w:spacing w:after="20"/>
            </w:pPr>
            <w:r>
              <w:rPr>
                <w:rFonts w:ascii="Aptos" w:hAnsi="Aptos"/>
                <w:sz w:val="15"/>
              </w:rPr>
              <w:t>Google YouTube OAuth logs the refresh token outside production.</w:t>
            </w:r>
          </w:p>
        </w:tc>
        <w:tc>
          <w:tcPr>
            <w:tcW w:type="dxa" w:w="2376"/>
            <w:vAlign w:val="top"/>
            <w:tcMar>
              <w:top w:w="70" w:type="dxa"/>
              <w:start w:w="90" w:type="dxa"/>
              <w:bottom w:w="70" w:type="dxa"/>
              <w:end w:w="90" w:type="dxa"/>
            </w:tcMar>
            <w:shd w:fill="F5F8FA"/>
          </w:tcPr>
          <w:p>
            <w:pPr>
              <w:spacing w:after="20"/>
            </w:pPr>
            <w:r>
              <w:rPr>
                <w:rFonts w:ascii="Aptos" w:hAnsi="Aptos"/>
                <w:sz w:val="15"/>
              </w:rPr>
              <w:t>Sensitive reusable credentials may enter dev logs or pasted terminal output.</w:t>
            </w:r>
          </w:p>
        </w:tc>
        <w:tc>
          <w:tcPr>
            <w:tcW w:type="dxa" w:w="4104"/>
            <w:vAlign w:val="top"/>
            <w:tcMar>
              <w:top w:w="70" w:type="dxa"/>
              <w:start w:w="90" w:type="dxa"/>
              <w:bottom w:w="70" w:type="dxa"/>
              <w:end w:w="90" w:type="dxa"/>
            </w:tcMar>
            <w:shd w:fill="F5F8FA"/>
          </w:tcPr>
          <w:p>
            <w:pPr>
              <w:spacing w:after="20"/>
            </w:pPr>
            <w:r>
              <w:rPr>
                <w:rFonts w:ascii="Aptos" w:hAnsi="Aptos"/>
                <w:sz w:val="15"/>
              </w:rPr>
              <w:t>Remove secret logging and re-authorize/rotate if that value was exposed.</w:t>
            </w:r>
          </w:p>
        </w:tc>
      </w:tr>
    </w:tbl>
    <w:p>
      <w:pPr>
        <w:spacing w:after="20"/>
      </w:pPr>
    </w:p>
    <w:p>
      <w:r>
        <w:br w:type="page"/>
      </w:r>
    </w:p>
    <w:p>
      <w:pPr>
        <w:pStyle w:val="Heading1"/>
      </w:pPr>
      <w:r>
        <w:t>6.2 P1 — reliability / production-readiness gaps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7365D"/>
            <w:vAlign w:val="center"/>
            <w:tcMar>
              <w:top w:w="70" w:type="dxa"/>
              <w:start w:w="90" w:type="dxa"/>
              <w:bottom w:w="70" w:type="dxa"/>
              <w:end w:w="90" w:type="dxa"/>
            </w:tcMar>
          </w:tcPr>
          <w:p>
            <w:pPr>
              <w:spacing w:after="0"/>
            </w:pPr>
            <w:r>
              <w:rPr>
                <w:b/>
                <w:color w:val="FFFFFF"/>
                <w:sz w:val="14"/>
              </w:rPr>
              <w:t>Gap</w:t>
            </w:r>
          </w:p>
        </w:tc>
        <w:tc>
          <w:tcPr>
            <w:tcW w:type="dxa" w:w="2952"/>
            <w:shd w:fill="17365D"/>
            <w:vAlign w:val="center"/>
            <w:tcMar>
              <w:top w:w="70" w:type="dxa"/>
              <w:start w:w="90" w:type="dxa"/>
              <w:bottom w:w="70" w:type="dxa"/>
              <w:end w:w="90" w:type="dxa"/>
            </w:tcMar>
          </w:tcPr>
          <w:p>
            <w:pPr>
              <w:spacing w:after="0"/>
            </w:pPr>
            <w:r>
              <w:rPr>
                <w:b/>
                <w:color w:val="FFFFFF"/>
                <w:sz w:val="14"/>
              </w:rPr>
              <w:t>Why it matters</w:t>
            </w:r>
          </w:p>
        </w:tc>
        <w:tc>
          <w:tcPr>
            <w:tcW w:type="dxa" w:w="3888"/>
            <w:shd w:fill="17365D"/>
            <w:vAlign w:val="center"/>
            <w:tcMar>
              <w:top w:w="70" w:type="dxa"/>
              <w:start w:w="90" w:type="dxa"/>
              <w:bottom w:w="70" w:type="dxa"/>
              <w:end w:w="90" w:type="dxa"/>
            </w:tcMar>
          </w:tcPr>
          <w:p>
            <w:pPr>
              <w:spacing w:after="0"/>
            </w:pPr>
            <w:r>
              <w:rPr>
                <w:b/>
                <w:color w:val="FFFFFF"/>
                <w:sz w:val="14"/>
              </w:rPr>
              <w:t>Recommended pattern</w:t>
            </w:r>
          </w:p>
        </w:tc>
      </w:tr>
      <w:tr>
        <w:trPr>
          <w:cantSplit/>
        </w:trPr>
        <w:tc>
          <w:tcPr>
            <w:tcW w:type="dxa" w:w="2232"/>
            <w:vAlign w:val="top"/>
            <w:tcMar>
              <w:top w:w="70" w:type="dxa"/>
              <w:start w:w="90" w:type="dxa"/>
              <w:bottom w:w="70" w:type="dxa"/>
              <w:end w:w="90" w:type="dxa"/>
            </w:tcMar>
          </w:tcPr>
          <w:p>
            <w:pPr>
              <w:spacing w:after="20"/>
            </w:pPr>
            <w:r>
              <w:rPr>
                <w:rFonts w:ascii="Aptos" w:hAnsi="Aptos"/>
                <w:sz w:val="14"/>
              </w:rPr>
              <w:t>No database/repositories/migrations found</w:t>
            </w:r>
          </w:p>
        </w:tc>
        <w:tc>
          <w:tcPr>
            <w:tcW w:type="dxa" w:w="2952"/>
            <w:vAlign w:val="top"/>
            <w:tcMar>
              <w:top w:w="70" w:type="dxa"/>
              <w:start w:w="90" w:type="dxa"/>
              <w:bottom w:w="70" w:type="dxa"/>
              <w:end w:w="90" w:type="dxa"/>
            </w:tcMar>
          </w:tcPr>
          <w:p>
            <w:pPr>
              <w:spacing w:after="20"/>
            </w:pPr>
            <w:r>
              <w:rPr>
                <w:rFonts w:ascii="Aptos" w:hAnsi="Aptos"/>
                <w:sz w:val="14"/>
              </w:rPr>
              <w:t>Connections, accounts, sync state, audit history and tenant ownership are not durable structured records.</w:t>
            </w:r>
          </w:p>
        </w:tc>
        <w:tc>
          <w:tcPr>
            <w:tcW w:type="dxa" w:w="3888"/>
            <w:vAlign w:val="top"/>
            <w:tcMar>
              <w:top w:w="70" w:type="dxa"/>
              <w:start w:w="90" w:type="dxa"/>
              <w:bottom w:w="70" w:type="dxa"/>
              <w:end w:w="90" w:type="dxa"/>
            </w:tcMar>
          </w:tcPr>
          <w:p>
            <w:pPr>
              <w:spacing w:after="20"/>
            </w:pPr>
            <w:r>
              <w:rPr>
                <w:rFonts w:ascii="Aptos" w:hAnsi="Aptos"/>
                <w:sz w:val="14"/>
              </w:rPr>
              <w:t>PostgreSQL schema + migrations + repository/service layer.</w:t>
            </w:r>
          </w:p>
        </w:tc>
      </w:tr>
      <w:tr>
        <w:trPr>
          <w:cantSplit/>
        </w:trPr>
        <w:tc>
          <w:tcPr>
            <w:tcW w:type="dxa" w:w="2232"/>
            <w:vAlign w:val="top"/>
            <w:tcMar>
              <w:top w:w="70" w:type="dxa"/>
              <w:start w:w="90" w:type="dxa"/>
              <w:bottom w:w="70" w:type="dxa"/>
              <w:end w:w="90" w:type="dxa"/>
            </w:tcMar>
            <w:shd w:fill="F5F8FA"/>
          </w:tcPr>
          <w:p>
            <w:pPr>
              <w:spacing w:after="20"/>
            </w:pPr>
            <w:r>
              <w:rPr>
                <w:rFonts w:ascii="Aptos" w:hAnsi="Aptos"/>
                <w:sz w:val="14"/>
              </w:rPr>
              <w:t>No React/frontend source in supplied ZIP</w:t>
            </w:r>
          </w:p>
        </w:tc>
        <w:tc>
          <w:tcPr>
            <w:tcW w:type="dxa" w:w="2952"/>
            <w:vAlign w:val="top"/>
            <w:tcMar>
              <w:top w:w="70" w:type="dxa"/>
              <w:start w:w="90" w:type="dxa"/>
              <w:bottom w:w="70" w:type="dxa"/>
              <w:end w:w="90" w:type="dxa"/>
            </w:tcMar>
            <w:shd w:fill="F5F8FA"/>
          </w:tcPr>
          <w:p>
            <w:pPr>
              <w:spacing w:after="20"/>
            </w:pPr>
            <w:r>
              <w:rPr>
                <w:rFonts w:ascii="Aptos" w:hAnsi="Aptos"/>
                <w:sz w:val="14"/>
              </w:rPr>
              <w:t>There is no unified dashboard/UI in this artifact.</w:t>
            </w:r>
          </w:p>
        </w:tc>
        <w:tc>
          <w:tcPr>
            <w:tcW w:type="dxa" w:w="3888"/>
            <w:vAlign w:val="top"/>
            <w:tcMar>
              <w:top w:w="70" w:type="dxa"/>
              <w:start w:w="90" w:type="dxa"/>
              <w:bottom w:w="70" w:type="dxa"/>
              <w:end w:w="90" w:type="dxa"/>
            </w:tcMar>
            <w:shd w:fill="F5F8FA"/>
          </w:tcPr>
          <w:p>
            <w:pPr>
              <w:spacing w:after="20"/>
            </w:pPr>
            <w:r>
              <w:rPr>
                <w:rFonts w:ascii="Aptos" w:hAnsi="Aptos"/>
                <w:sz w:val="14"/>
              </w:rPr>
              <w:t>Build the UI after API contracts and normalized domain model are designed.</w:t>
            </w:r>
          </w:p>
        </w:tc>
      </w:tr>
      <w:tr>
        <w:trPr>
          <w:cantSplit/>
        </w:trPr>
        <w:tc>
          <w:tcPr>
            <w:tcW w:type="dxa" w:w="2232"/>
            <w:vAlign w:val="top"/>
            <w:tcMar>
              <w:top w:w="70" w:type="dxa"/>
              <w:start w:w="90" w:type="dxa"/>
              <w:bottom w:w="70" w:type="dxa"/>
              <w:end w:w="90" w:type="dxa"/>
            </w:tcMar>
          </w:tcPr>
          <w:p>
            <w:pPr>
              <w:spacing w:after="20"/>
            </w:pPr>
            <w:r>
              <w:rPr>
                <w:rFonts w:ascii="Aptos" w:hAnsi="Aptos"/>
                <w:sz w:val="14"/>
              </w:rPr>
              <w:t>No verified automated test suite</w:t>
            </w:r>
          </w:p>
        </w:tc>
        <w:tc>
          <w:tcPr>
            <w:tcW w:type="dxa" w:w="2952"/>
            <w:vAlign w:val="top"/>
            <w:tcMar>
              <w:top w:w="70" w:type="dxa"/>
              <w:start w:w="90" w:type="dxa"/>
              <w:bottom w:w="70" w:type="dxa"/>
              <w:end w:w="90" w:type="dxa"/>
            </w:tcMar>
          </w:tcPr>
          <w:p>
            <w:pPr>
              <w:spacing w:after="20"/>
            </w:pPr>
            <w:r>
              <w:rPr>
                <w:rFonts w:ascii="Aptos" w:hAnsi="Aptos"/>
                <w:sz w:val="14"/>
              </w:rPr>
              <w:t>Google package has no test script; Meta test script is a placeholder.</w:t>
            </w:r>
          </w:p>
        </w:tc>
        <w:tc>
          <w:tcPr>
            <w:tcW w:type="dxa" w:w="3888"/>
            <w:vAlign w:val="top"/>
            <w:tcMar>
              <w:top w:w="70" w:type="dxa"/>
              <w:start w:w="90" w:type="dxa"/>
              <w:bottom w:w="70" w:type="dxa"/>
              <w:end w:w="90" w:type="dxa"/>
            </w:tcMar>
          </w:tcPr>
          <w:p>
            <w:pPr>
              <w:spacing w:after="20"/>
            </w:pPr>
            <w:r>
              <w:rPr>
                <w:rFonts w:ascii="Aptos" w:hAnsi="Aptos"/>
                <w:sz w:val="14"/>
              </w:rPr>
              <w:t>Unit tests, adapter contract tests, mocked provider tests, tenant-isolation tests and a documented live-test checklist.</w:t>
            </w:r>
          </w:p>
        </w:tc>
      </w:tr>
      <w:tr>
        <w:trPr>
          <w:cantSplit/>
        </w:trPr>
        <w:tc>
          <w:tcPr>
            <w:tcW w:type="dxa" w:w="2232"/>
            <w:vAlign w:val="top"/>
            <w:tcMar>
              <w:top w:w="70" w:type="dxa"/>
              <w:start w:w="90" w:type="dxa"/>
              <w:bottom w:w="70" w:type="dxa"/>
              <w:end w:w="90" w:type="dxa"/>
            </w:tcMar>
            <w:shd w:fill="F5F8FA"/>
          </w:tcPr>
          <w:p>
            <w:pPr>
              <w:spacing w:after="20"/>
            </w:pPr>
            <w:r>
              <w:rPr>
                <w:rFonts w:ascii="Aptos" w:hAnsi="Aptos"/>
                <w:sz w:val="14"/>
              </w:rPr>
              <w:t>Google API access helper still requires legacy developer token</w:t>
            </w:r>
          </w:p>
        </w:tc>
        <w:tc>
          <w:tcPr>
            <w:tcW w:type="dxa" w:w="2952"/>
            <w:vAlign w:val="top"/>
            <w:tcMar>
              <w:top w:w="70" w:type="dxa"/>
              <w:start w:w="90" w:type="dxa"/>
              <w:bottom w:w="70" w:type="dxa"/>
              <w:end w:w="90" w:type="dxa"/>
            </w:tcMar>
            <w:shd w:fill="F5F8FA"/>
          </w:tcPr>
          <w:p>
            <w:pPr>
              <w:spacing w:after="20"/>
            </w:pPr>
            <w:r>
              <w:rPr>
                <w:rFonts w:ascii="Aptos" w:hAnsi="Aptos"/>
                <w:sz w:val="14"/>
              </w:rPr>
              <w:t>Current access model changed in Sep 2026; local validation may block a valid new-style configuration.</w:t>
            </w:r>
          </w:p>
        </w:tc>
        <w:tc>
          <w:tcPr>
            <w:tcW w:type="dxa" w:w="3888"/>
            <w:vAlign w:val="top"/>
            <w:tcMar>
              <w:top w:w="70" w:type="dxa"/>
              <w:start w:w="90" w:type="dxa"/>
              <w:bottom w:w="70" w:type="dxa"/>
              <w:end w:w="90" w:type="dxa"/>
            </w:tcMar>
            <w:shd w:fill="F5F8FA"/>
          </w:tcPr>
          <w:p>
            <w:pPr>
              <w:spacing w:after="20"/>
            </w:pPr>
            <w:r>
              <w:rPr>
                <w:rFonts w:ascii="Aptos" w:hAnsi="Aptos"/>
                <w:sz w:val="14"/>
              </w:rPr>
              <w:t>Audit each request path; move access level/permissible use to project onboarding state. Keep legacy header only if needed for a specific transition/workflow.</w:t>
            </w:r>
          </w:p>
        </w:tc>
      </w:tr>
      <w:tr>
        <w:trPr>
          <w:cantSplit/>
        </w:trPr>
        <w:tc>
          <w:tcPr>
            <w:tcW w:type="dxa" w:w="2232"/>
            <w:vAlign w:val="top"/>
            <w:tcMar>
              <w:top w:w="70" w:type="dxa"/>
              <w:start w:w="90" w:type="dxa"/>
              <w:bottom w:w="70" w:type="dxa"/>
              <w:end w:w="90" w:type="dxa"/>
            </w:tcMar>
          </w:tcPr>
          <w:p>
            <w:pPr>
              <w:spacing w:after="20"/>
            </w:pPr>
            <w:r>
              <w:rPr>
                <w:rFonts w:ascii="Aptos" w:hAnsi="Aptos"/>
                <w:sz w:val="14"/>
              </w:rPr>
              <w:t>Google v25 hard-coded in several places</w:t>
            </w:r>
          </w:p>
        </w:tc>
        <w:tc>
          <w:tcPr>
            <w:tcW w:type="dxa" w:w="2952"/>
            <w:vAlign w:val="top"/>
            <w:tcMar>
              <w:top w:w="70" w:type="dxa"/>
              <w:start w:w="90" w:type="dxa"/>
              <w:bottom w:w="70" w:type="dxa"/>
              <w:end w:w="90" w:type="dxa"/>
            </w:tcMar>
          </w:tcPr>
          <w:p>
            <w:pPr>
              <w:spacing w:after="20"/>
            </w:pPr>
            <w:r>
              <w:rPr>
                <w:rFonts w:ascii="Aptos" w:hAnsi="Aptos"/>
                <w:sz w:val="14"/>
              </w:rPr>
              <w:t>Latest major v26 was released 14 Oct 2026. v25 remains supported, but duplicated version strings increase migration cost.</w:t>
            </w:r>
          </w:p>
        </w:tc>
        <w:tc>
          <w:tcPr>
            <w:tcW w:type="dxa" w:w="3888"/>
            <w:vAlign w:val="top"/>
            <w:tcMar>
              <w:top w:w="70" w:type="dxa"/>
              <w:start w:w="90" w:type="dxa"/>
              <w:bottom w:w="70" w:type="dxa"/>
              <w:end w:w="90" w:type="dxa"/>
            </w:tcMar>
          </w:tcPr>
          <w:p>
            <w:pPr>
              <w:spacing w:after="20"/>
            </w:pPr>
            <w:r>
              <w:rPr>
                <w:rFonts w:ascii="Aptos" w:hAnsi="Aptos"/>
                <w:sz w:val="14"/>
              </w:rPr>
              <w:t>Central config, explicit supported-version policy, release-note review and contract tests.</w:t>
            </w:r>
          </w:p>
        </w:tc>
      </w:tr>
      <w:tr>
        <w:trPr>
          <w:cantSplit/>
        </w:trPr>
        <w:tc>
          <w:tcPr>
            <w:tcW w:type="dxa" w:w="2232"/>
            <w:vAlign w:val="top"/>
            <w:tcMar>
              <w:top w:w="70" w:type="dxa"/>
              <w:start w:w="90" w:type="dxa"/>
              <w:bottom w:w="70" w:type="dxa"/>
              <w:end w:w="90" w:type="dxa"/>
            </w:tcMar>
            <w:shd w:fill="F5F8FA"/>
          </w:tcPr>
          <w:p>
            <w:pPr>
              <w:spacing w:after="20"/>
            </w:pPr>
            <w:r>
              <w:rPr>
                <w:rFonts w:ascii="Aptos" w:hAnsi="Aptos"/>
                <w:sz w:val="14"/>
              </w:rPr>
              <w:t>Mixed Google REST call construction</w:t>
            </w:r>
          </w:p>
        </w:tc>
        <w:tc>
          <w:tcPr>
            <w:tcW w:type="dxa" w:w="2952"/>
            <w:vAlign w:val="top"/>
            <w:tcMar>
              <w:top w:w="70" w:type="dxa"/>
              <w:start w:w="90" w:type="dxa"/>
              <w:bottom w:w="70" w:type="dxa"/>
              <w:end w:w="90" w:type="dxa"/>
            </w:tcMar>
            <w:shd w:fill="F5F8FA"/>
          </w:tcPr>
          <w:p>
            <w:pPr>
              <w:spacing w:after="20"/>
            </w:pPr>
            <w:r>
              <w:rPr>
                <w:rFonts w:ascii="Aptos" w:hAnsi="Aptos"/>
                <w:sz w:val="14"/>
              </w:rPr>
              <w:t>Some modules use a shared helper, others make direct fetch calls.</w:t>
            </w:r>
          </w:p>
        </w:tc>
        <w:tc>
          <w:tcPr>
            <w:tcW w:type="dxa" w:w="3888"/>
            <w:vAlign w:val="top"/>
            <w:tcMar>
              <w:top w:w="70" w:type="dxa"/>
              <w:start w:w="90" w:type="dxa"/>
              <w:bottom w:w="70" w:type="dxa"/>
              <w:end w:w="90" w:type="dxa"/>
            </w:tcMar>
            <w:shd w:fill="F5F8FA"/>
          </w:tcPr>
          <w:p>
            <w:pPr>
              <w:spacing w:after="20"/>
            </w:pPr>
            <w:r>
              <w:rPr>
                <w:rFonts w:ascii="Aptos" w:hAnsi="Aptos"/>
                <w:sz w:val="14"/>
              </w:rPr>
              <w:t>One Google client wrapper for auth, endpoint version, error parsing, timeout, request ID, retry and quota telemetry.</w:t>
            </w:r>
          </w:p>
        </w:tc>
      </w:tr>
      <w:tr>
        <w:trPr>
          <w:cantSplit/>
        </w:trPr>
        <w:tc>
          <w:tcPr>
            <w:tcW w:type="dxa" w:w="2232"/>
            <w:vAlign w:val="top"/>
            <w:tcMar>
              <w:top w:w="70" w:type="dxa"/>
              <w:start w:w="90" w:type="dxa"/>
              <w:bottom w:w="70" w:type="dxa"/>
              <w:end w:w="90" w:type="dxa"/>
            </w:tcMar>
          </w:tcPr>
          <w:p>
            <w:pPr>
              <w:spacing w:after="20"/>
            </w:pPr>
            <w:r>
              <w:rPr>
                <w:rFonts w:ascii="Aptos" w:hAnsi="Aptos"/>
                <w:sz w:val="14"/>
              </w:rPr>
              <w:t>Pagination and backoff not consistently demonstrated</w:t>
            </w:r>
          </w:p>
        </w:tc>
        <w:tc>
          <w:tcPr>
            <w:tcW w:type="dxa" w:w="2952"/>
            <w:vAlign w:val="top"/>
            <w:tcMar>
              <w:top w:w="70" w:type="dxa"/>
              <w:start w:w="90" w:type="dxa"/>
              <w:bottom w:w="70" w:type="dxa"/>
              <w:end w:w="90" w:type="dxa"/>
            </w:tcMar>
          </w:tcPr>
          <w:p>
            <w:pPr>
              <w:spacing w:after="20"/>
            </w:pPr>
            <w:r>
              <w:rPr>
                <w:rFonts w:ascii="Aptos" w:hAnsi="Aptos"/>
                <w:sz w:val="14"/>
              </w:rPr>
              <w:t>Reports/large accounts may be incomplete or throttled.</w:t>
            </w:r>
          </w:p>
        </w:tc>
        <w:tc>
          <w:tcPr>
            <w:tcW w:type="dxa" w:w="3888"/>
            <w:vAlign w:val="top"/>
            <w:tcMar>
              <w:top w:w="70" w:type="dxa"/>
              <w:start w:w="90" w:type="dxa"/>
              <w:bottom w:w="70" w:type="dxa"/>
              <w:end w:w="90" w:type="dxa"/>
            </w:tcMar>
          </w:tcPr>
          <w:p>
            <w:pPr>
              <w:spacing w:after="20"/>
            </w:pPr>
            <w:r>
              <w:rPr>
                <w:rFonts w:ascii="Aptos" w:hAnsi="Aptos"/>
                <w:sz w:val="14"/>
              </w:rPr>
              <w:t>Cursor/page handling, bounded exponential backoff with jitter and per-account queue limits.</w:t>
            </w:r>
          </w:p>
        </w:tc>
      </w:tr>
      <w:tr>
        <w:trPr>
          <w:cantSplit/>
        </w:trPr>
        <w:tc>
          <w:tcPr>
            <w:tcW w:type="dxa" w:w="2232"/>
            <w:vAlign w:val="top"/>
            <w:tcMar>
              <w:top w:w="70" w:type="dxa"/>
              <w:start w:w="90" w:type="dxa"/>
              <w:bottom w:w="70" w:type="dxa"/>
              <w:end w:w="90" w:type="dxa"/>
            </w:tcMar>
            <w:shd w:fill="F5F8FA"/>
          </w:tcPr>
          <w:p>
            <w:pPr>
              <w:spacing w:after="20"/>
            </w:pPr>
            <w:r>
              <w:rPr>
                <w:rFonts w:ascii="Aptos" w:hAnsi="Aptos"/>
                <w:sz w:val="14"/>
              </w:rPr>
              <w:t>No idempotency/reconciliation framework</w:t>
            </w:r>
          </w:p>
        </w:tc>
        <w:tc>
          <w:tcPr>
            <w:tcW w:type="dxa" w:w="2952"/>
            <w:vAlign w:val="top"/>
            <w:tcMar>
              <w:top w:w="70" w:type="dxa"/>
              <w:start w:w="90" w:type="dxa"/>
              <w:bottom w:w="70" w:type="dxa"/>
              <w:end w:w="90" w:type="dxa"/>
            </w:tcMar>
            <w:shd w:fill="F5F8FA"/>
          </w:tcPr>
          <w:p>
            <w:pPr>
              <w:spacing w:after="20"/>
            </w:pPr>
            <w:r>
              <w:rPr>
                <w:rFonts w:ascii="Aptos" w:hAnsi="Aptos"/>
                <w:sz w:val="14"/>
              </w:rPr>
              <w:t>Retries/double-clicks can duplicate creates or leave partial campaigns.</w:t>
            </w:r>
          </w:p>
        </w:tc>
        <w:tc>
          <w:tcPr>
            <w:tcW w:type="dxa" w:w="3888"/>
            <w:vAlign w:val="top"/>
            <w:tcMar>
              <w:top w:w="70" w:type="dxa"/>
              <w:start w:w="90" w:type="dxa"/>
              <w:bottom w:w="70" w:type="dxa"/>
              <w:end w:w="90" w:type="dxa"/>
            </w:tcMar>
            <w:shd w:fill="F5F8FA"/>
          </w:tcPr>
          <w:p>
            <w:pPr>
              <w:spacing w:after="20"/>
            </w:pPr>
            <w:r>
              <w:rPr>
                <w:rFonts w:ascii="Aptos" w:hAnsi="Aptos"/>
                <w:sz w:val="14"/>
              </w:rPr>
              <w:t>Idempotency keys, job state machine, provider-state read-back and per-action results.</w:t>
            </w:r>
          </w:p>
        </w:tc>
      </w:tr>
      <w:tr>
        <w:trPr>
          <w:cantSplit/>
        </w:trPr>
        <w:tc>
          <w:tcPr>
            <w:tcW w:type="dxa" w:w="2232"/>
            <w:vAlign w:val="top"/>
            <w:tcMar>
              <w:top w:w="70" w:type="dxa"/>
              <w:start w:w="90" w:type="dxa"/>
              <w:bottom w:w="70" w:type="dxa"/>
              <w:end w:w="90" w:type="dxa"/>
            </w:tcMar>
          </w:tcPr>
          <w:p>
            <w:pPr>
              <w:spacing w:after="20"/>
            </w:pPr>
            <w:r>
              <w:rPr>
                <w:rFonts w:ascii="Aptos" w:hAnsi="Aptos"/>
                <w:sz w:val="14"/>
              </w:rPr>
              <w:t>No structured audit/observability layer</w:t>
            </w:r>
          </w:p>
        </w:tc>
        <w:tc>
          <w:tcPr>
            <w:tcW w:type="dxa" w:w="2952"/>
            <w:vAlign w:val="top"/>
            <w:tcMar>
              <w:top w:w="70" w:type="dxa"/>
              <w:start w:w="90" w:type="dxa"/>
              <w:bottom w:w="70" w:type="dxa"/>
              <w:end w:w="90" w:type="dxa"/>
            </w:tcMar>
          </w:tcPr>
          <w:p>
            <w:pPr>
              <w:spacing w:after="20"/>
            </w:pPr>
            <w:r>
              <w:rPr>
                <w:rFonts w:ascii="Aptos" w:hAnsi="Aptos"/>
                <w:sz w:val="14"/>
              </w:rPr>
              <w:t>Support cannot reliably answer who changed what, and secret-safe debugging is difficult.</w:t>
            </w:r>
          </w:p>
        </w:tc>
        <w:tc>
          <w:tcPr>
            <w:tcW w:type="dxa" w:w="3888"/>
            <w:vAlign w:val="top"/>
            <w:tcMar>
              <w:top w:w="70" w:type="dxa"/>
              <w:start w:w="90" w:type="dxa"/>
              <w:bottom w:w="70" w:type="dxa"/>
              <w:end w:w="90" w:type="dxa"/>
            </w:tcMar>
          </w:tcPr>
          <w:p>
            <w:pPr>
              <w:spacing w:after="20"/>
            </w:pPr>
            <w:r>
              <w:rPr>
                <w:rFonts w:ascii="Aptos" w:hAnsi="Aptos"/>
                <w:sz w:val="14"/>
              </w:rPr>
              <w:t>Structured redacted logs, operation IDs, provider request IDs, audit_events, metrics and alerts.</w:t>
            </w:r>
          </w:p>
        </w:tc>
      </w:tr>
      <w:tr>
        <w:trPr>
          <w:cantSplit/>
        </w:trPr>
        <w:tc>
          <w:tcPr>
            <w:tcW w:type="dxa" w:w="2232"/>
            <w:vAlign w:val="top"/>
            <w:tcMar>
              <w:top w:w="70" w:type="dxa"/>
              <w:start w:w="90" w:type="dxa"/>
              <w:bottom w:w="70" w:type="dxa"/>
              <w:end w:w="90" w:type="dxa"/>
            </w:tcMar>
            <w:shd w:fill="F5F8FA"/>
          </w:tcPr>
          <w:p>
            <w:pPr>
              <w:spacing w:after="20"/>
            </w:pPr>
            <w:r>
              <w:rPr>
                <w:rFonts w:ascii="Aptos" w:hAnsi="Aptos"/>
                <w:sz w:val="14"/>
              </w:rPr>
              <w:t>Route mount mismatch appears in Google ad-group reporting</w:t>
            </w:r>
          </w:p>
        </w:tc>
        <w:tc>
          <w:tcPr>
            <w:tcW w:type="dxa" w:w="2952"/>
            <w:vAlign w:val="top"/>
            <w:tcMar>
              <w:top w:w="70" w:type="dxa"/>
              <w:start w:w="90" w:type="dxa"/>
              <w:bottom w:w="70" w:type="dxa"/>
              <w:end w:w="90" w:type="dxa"/>
            </w:tcMar>
            <w:shd w:fill="F5F8FA"/>
          </w:tcPr>
          <w:p>
            <w:pPr>
              <w:spacing w:after="20"/>
            </w:pPr>
            <w:r>
              <w:rPr>
                <w:rFonts w:ascii="Aptos" w:hAnsi="Aptos"/>
                <w:sz w:val="14"/>
              </w:rPr>
              <w:t>adsGroup router is mounted under /google-ads, while report paths in that router also start /google-ads; effective paths appear double-prefixed.</w:t>
            </w:r>
          </w:p>
        </w:tc>
        <w:tc>
          <w:tcPr>
            <w:tcW w:type="dxa" w:w="3888"/>
            <w:vAlign w:val="top"/>
            <w:tcMar>
              <w:top w:w="70" w:type="dxa"/>
              <w:start w:w="90" w:type="dxa"/>
              <w:bottom w:w="70" w:type="dxa"/>
              <w:end w:w="90" w:type="dxa"/>
            </w:tcMar>
            <w:shd w:fill="F5F8FA"/>
          </w:tcPr>
          <w:p>
            <w:pPr>
              <w:spacing w:after="20"/>
            </w:pPr>
            <w:r>
              <w:rPr>
                <w:rFonts w:ascii="Aptos" w:hAnsi="Aptos"/>
                <w:sz w:val="14"/>
              </w:rPr>
              <w:t>Verify effective paths and add route registration/HTTP smoke tests; do not assume documented URL equals mounted URL.</w:t>
            </w:r>
          </w:p>
        </w:tc>
      </w:tr>
      <w:tr>
        <w:trPr>
          <w:cantSplit/>
        </w:trPr>
        <w:tc>
          <w:tcPr>
            <w:tcW w:type="dxa" w:w="2232"/>
            <w:vAlign w:val="top"/>
            <w:tcMar>
              <w:top w:w="70" w:type="dxa"/>
              <w:start w:w="90" w:type="dxa"/>
              <w:bottom w:w="70" w:type="dxa"/>
              <w:end w:w="90" w:type="dxa"/>
            </w:tcMar>
          </w:tcPr>
          <w:p>
            <w:pPr>
              <w:spacing w:after="20"/>
            </w:pPr>
            <w:r>
              <w:rPr>
                <w:rFonts w:ascii="Aptos" w:hAnsi="Aptos"/>
                <w:sz w:val="14"/>
              </w:rPr>
              <w:t>Meta docs/source route drift</w:t>
            </w:r>
          </w:p>
        </w:tc>
        <w:tc>
          <w:tcPr>
            <w:tcW w:type="dxa" w:w="2952"/>
            <w:vAlign w:val="top"/>
            <w:tcMar>
              <w:top w:w="70" w:type="dxa"/>
              <w:start w:w="90" w:type="dxa"/>
              <w:bottom w:w="70" w:type="dxa"/>
              <w:end w:w="90" w:type="dxa"/>
            </w:tcMar>
          </w:tcPr>
          <w:p>
            <w:pPr>
              <w:spacing w:after="20"/>
            </w:pPr>
            <w:r>
              <w:rPr>
                <w:rFonts w:ascii="Aptos" w:hAnsi="Aptos"/>
                <w:sz w:val="14"/>
              </w:rPr>
              <w:t>Learning doc discusses specific-ad read/rename/pause patterns not present as handlers in current ad.routes.ts.</w:t>
            </w:r>
          </w:p>
        </w:tc>
        <w:tc>
          <w:tcPr>
            <w:tcW w:type="dxa" w:w="3888"/>
            <w:vAlign w:val="top"/>
            <w:tcMar>
              <w:top w:w="70" w:type="dxa"/>
              <w:start w:w="90" w:type="dxa"/>
              <w:bottom w:w="70" w:type="dxa"/>
              <w:end w:w="90" w:type="dxa"/>
            </w:tcMar>
          </w:tcPr>
          <w:p>
            <w:pPr>
              <w:spacing w:after="20"/>
            </w:pPr>
            <w:r>
              <w:rPr>
                <w:rFonts w:ascii="Aptos" w:hAnsi="Aptos"/>
                <w:sz w:val="14"/>
              </w:rPr>
              <w:t>Generate route inventory from source or add contract tests that keep docs and route map aligned.</w:t>
            </w:r>
          </w:p>
        </w:tc>
      </w:tr>
      <w:tr>
        <w:trPr>
          <w:cantSplit/>
        </w:trPr>
        <w:tc>
          <w:tcPr>
            <w:tcW w:type="dxa" w:w="2232"/>
            <w:vAlign w:val="top"/>
            <w:tcMar>
              <w:top w:w="70" w:type="dxa"/>
              <w:start w:w="90" w:type="dxa"/>
              <w:bottom w:w="70" w:type="dxa"/>
              <w:end w:w="90" w:type="dxa"/>
            </w:tcMar>
            <w:shd w:fill="F5F8FA"/>
          </w:tcPr>
          <w:p>
            <w:pPr>
              <w:spacing w:after="20"/>
            </w:pPr>
            <w:r>
              <w:rPr>
                <w:rFonts w:ascii="Aptos" w:hAnsi="Aptos"/>
                <w:sz w:val="14"/>
              </w:rPr>
              <w:t>Meta .gitignore contains unrelated long-form text</w:t>
            </w:r>
          </w:p>
        </w:tc>
        <w:tc>
          <w:tcPr>
            <w:tcW w:type="dxa" w:w="2952"/>
            <w:vAlign w:val="top"/>
            <w:tcMar>
              <w:top w:w="70" w:type="dxa"/>
              <w:start w:w="90" w:type="dxa"/>
              <w:bottom w:w="70" w:type="dxa"/>
              <w:end w:w="90" w:type="dxa"/>
            </w:tcMar>
            <w:shd w:fill="F5F8FA"/>
          </w:tcPr>
          <w:p>
            <w:pPr>
              <w:spacing w:after="20"/>
            </w:pPr>
            <w:r>
              <w:rPr>
                <w:rFonts w:ascii="Aptos" w:hAnsi="Aptos"/>
                <w:sz w:val="14"/>
              </w:rPr>
              <w:t>Misleading ignore patterns and repository hygiene issue.</w:t>
            </w:r>
          </w:p>
        </w:tc>
        <w:tc>
          <w:tcPr>
            <w:tcW w:type="dxa" w:w="3888"/>
            <w:vAlign w:val="top"/>
            <w:tcMar>
              <w:top w:w="70" w:type="dxa"/>
              <w:start w:w="90" w:type="dxa"/>
              <w:bottom w:w="70" w:type="dxa"/>
              <w:end w:w="90" w:type="dxa"/>
            </w:tcMar>
            <w:shd w:fill="F5F8FA"/>
          </w:tcPr>
          <w:p>
            <w:pPr>
              <w:spacing w:after="20"/>
            </w:pPr>
            <w:r>
              <w:rPr>
                <w:rFonts w:ascii="Aptos" w:hAnsi="Aptos"/>
                <w:sz w:val="14"/>
              </w:rPr>
              <w:t>Replace with a concise reviewed ignore file; audit staged/tracked files separately.</w:t>
            </w:r>
          </w:p>
        </w:tc>
      </w:tr>
    </w:tbl>
    <w:p>
      <w:pPr>
        <w:spacing w:after="20"/>
      </w:pPr>
    </w:p>
    <w:p>
      <w:r>
        <w:br w:type="page"/>
      </w:r>
    </w:p>
    <w:p>
      <w:pPr>
        <w:pStyle w:val="Heading1"/>
      </w:pPr>
      <w:r>
        <w:t>7. Complete product feature catalogue: what is missing or incomplete</w:t>
      </w:r>
    </w:p>
    <w:p>
      <w:r>
        <w:t>This is the practical inventory to use before development. “Present” means a route family exists in the ZIP; not every operation is production complete or live-tested. “New” means the supplied ZIP does not include a complete module for it.</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shd w:fill="17365D"/>
            <w:vAlign w:val="center"/>
            <w:tcMar>
              <w:top w:w="70" w:type="dxa"/>
              <w:start w:w="90" w:type="dxa"/>
              <w:bottom w:w="70" w:type="dxa"/>
              <w:end w:w="90" w:type="dxa"/>
            </w:tcMar>
          </w:tcPr>
          <w:p>
            <w:pPr>
              <w:spacing w:after="0"/>
            </w:pPr>
            <w:r>
              <w:rPr>
                <w:b/>
                <w:color w:val="FFFFFF"/>
                <w:sz w:val="14"/>
              </w:rPr>
              <w:t>Module</w:t>
            </w:r>
          </w:p>
        </w:tc>
        <w:tc>
          <w:tcPr>
            <w:tcW w:type="dxa" w:w="2016"/>
            <w:shd w:fill="17365D"/>
            <w:vAlign w:val="center"/>
            <w:tcMar>
              <w:top w:w="70" w:type="dxa"/>
              <w:start w:w="90" w:type="dxa"/>
              <w:bottom w:w="70" w:type="dxa"/>
              <w:end w:w="90" w:type="dxa"/>
            </w:tcMar>
          </w:tcPr>
          <w:p>
            <w:pPr>
              <w:spacing w:after="0"/>
            </w:pPr>
            <w:r>
              <w:rPr>
                <w:b/>
                <w:color w:val="FFFFFF"/>
                <w:sz w:val="14"/>
              </w:rPr>
              <w:t>Current ZIP coverage</w:t>
            </w:r>
          </w:p>
        </w:tc>
        <w:tc>
          <w:tcPr>
            <w:tcW w:type="dxa" w:w="4392"/>
            <w:shd w:fill="17365D"/>
            <w:vAlign w:val="center"/>
            <w:tcMar>
              <w:top w:w="70" w:type="dxa"/>
              <w:start w:w="90" w:type="dxa"/>
              <w:bottom w:w="70" w:type="dxa"/>
              <w:end w:w="90" w:type="dxa"/>
            </w:tcMar>
          </w:tcPr>
          <w:p>
            <w:pPr>
              <w:spacing w:after="0"/>
            </w:pPr>
            <w:r>
              <w:rPr>
                <w:b/>
                <w:color w:val="FFFFFF"/>
                <w:sz w:val="14"/>
              </w:rPr>
              <w:t>Needed for the unified SaaS</w:t>
            </w:r>
          </w:p>
        </w:tc>
        <w:tc>
          <w:tcPr>
            <w:tcW w:type="dxa" w:w="936"/>
            <w:shd w:fill="17365D"/>
            <w:vAlign w:val="center"/>
            <w:tcMar>
              <w:top w:w="70" w:type="dxa"/>
              <w:start w:w="90" w:type="dxa"/>
              <w:bottom w:w="70" w:type="dxa"/>
              <w:end w:w="90" w:type="dxa"/>
            </w:tcMar>
          </w:tcPr>
          <w:p>
            <w:pPr>
              <w:spacing w:after="0"/>
            </w:pPr>
            <w:r>
              <w:rPr>
                <w:b/>
                <w:color w:val="FFFFFF"/>
                <w:sz w:val="14"/>
              </w:rPr>
              <w:t>Priority</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Identity &amp; workspaces</w:t>
            </w:r>
          </w:p>
        </w:tc>
        <w:tc>
          <w:tcPr>
            <w:tcW w:type="dxa" w:w="2016"/>
            <w:vAlign w:val="top"/>
            <w:tcMar>
              <w:top w:w="70" w:type="dxa"/>
              <w:start w:w="90" w:type="dxa"/>
              <w:bottom w:w="70" w:type="dxa"/>
              <w:end w:w="90" w:type="dxa"/>
            </w:tcMar>
          </w:tcPr>
          <w:p>
            <w:pPr>
              <w:spacing w:after="20"/>
            </w:pPr>
            <w:r>
              <w:rPr>
                <w:rFonts w:ascii="Aptos" w:hAnsi="Aptos"/>
                <w:sz w:val="14"/>
              </w:rPr>
              <w:t>New</w:t>
            </w:r>
          </w:p>
        </w:tc>
        <w:tc>
          <w:tcPr>
            <w:tcW w:type="dxa" w:w="4392"/>
            <w:vAlign w:val="top"/>
            <w:tcMar>
              <w:top w:w="70" w:type="dxa"/>
              <w:start w:w="90" w:type="dxa"/>
              <w:bottom w:w="70" w:type="dxa"/>
              <w:end w:w="90" w:type="dxa"/>
            </w:tcMar>
          </w:tcPr>
          <w:p>
            <w:pPr>
              <w:spacing w:after="20"/>
            </w:pPr>
            <w:r>
              <w:rPr>
                <w:rFonts w:ascii="Aptos" w:hAnsi="Aptos"/>
                <w:sz w:val="14"/>
              </w:rPr>
              <w:t>Login, organizations/workspaces, team members, roles, tenant isolation, invitations, sessions and account ownership.</w:t>
            </w:r>
          </w:p>
        </w:tc>
        <w:tc>
          <w:tcPr>
            <w:tcW w:type="dxa" w:w="936"/>
            <w:vAlign w:val="top"/>
            <w:tcMar>
              <w:top w:w="70" w:type="dxa"/>
              <w:start w:w="90" w:type="dxa"/>
              <w:bottom w:w="70" w:type="dxa"/>
              <w:end w:w="90" w:type="dxa"/>
            </w:tcMar>
          </w:tcPr>
          <w:p>
            <w:pPr>
              <w:spacing w:after="20"/>
            </w:pPr>
            <w:r>
              <w:rPr>
                <w:rFonts w:ascii="Aptos" w:hAnsi="Aptos"/>
                <w:sz w:val="14"/>
              </w:rPr>
              <w:t>P0</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Connections &amp; account picker</w:t>
            </w:r>
          </w:p>
        </w:tc>
        <w:tc>
          <w:tcPr>
            <w:tcW w:type="dxa" w:w="2016"/>
            <w:vAlign w:val="top"/>
            <w:tcMar>
              <w:top w:w="70" w:type="dxa"/>
              <w:start w:w="90" w:type="dxa"/>
              <w:bottom w:w="70" w:type="dxa"/>
              <w:end w:w="90" w:type="dxa"/>
            </w:tcMar>
            <w:shd w:fill="F5F8FA"/>
          </w:tcPr>
          <w:p>
            <w:pPr>
              <w:spacing w:after="20"/>
            </w:pPr>
            <w:r>
              <w:rPr>
                <w:rFonts w:ascii="Aptos" w:hAnsi="Aptos"/>
                <w:sz w:val="14"/>
              </w:rPr>
              <w:t>Partial</w:t>
            </w:r>
          </w:p>
        </w:tc>
        <w:tc>
          <w:tcPr>
            <w:tcW w:type="dxa" w:w="4392"/>
            <w:vAlign w:val="top"/>
            <w:tcMar>
              <w:top w:w="70" w:type="dxa"/>
              <w:start w:w="90" w:type="dxa"/>
              <w:bottom w:w="70" w:type="dxa"/>
              <w:end w:w="90" w:type="dxa"/>
            </w:tcMar>
            <w:shd w:fill="F5F8FA"/>
          </w:tcPr>
          <w:p>
            <w:pPr>
              <w:spacing w:after="20"/>
            </w:pPr>
            <w:r>
              <w:rPr>
                <w:rFonts w:ascii="Aptos" w:hAnsi="Aptos"/>
                <w:sz w:val="14"/>
              </w:rPr>
              <w:t>Per-tenant provider connections, all reachable ad accounts, account picker, currency/time zone, permission/expiry health, reconnect/revoke/disconnect.</w:t>
            </w:r>
          </w:p>
        </w:tc>
        <w:tc>
          <w:tcPr>
            <w:tcW w:type="dxa" w:w="936"/>
            <w:vAlign w:val="top"/>
            <w:tcMar>
              <w:top w:w="70" w:type="dxa"/>
              <w:start w:w="90" w:type="dxa"/>
              <w:bottom w:w="70" w:type="dxa"/>
              <w:end w:w="90" w:type="dxa"/>
            </w:tcMar>
            <w:shd w:fill="F5F8FA"/>
          </w:tcPr>
          <w:p>
            <w:pPr>
              <w:spacing w:after="20"/>
            </w:pPr>
            <w:r>
              <w:rPr>
                <w:rFonts w:ascii="Aptos" w:hAnsi="Aptos"/>
                <w:sz w:val="14"/>
              </w:rPr>
              <w:t>P0</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Unified analytics</w:t>
            </w:r>
          </w:p>
        </w:tc>
        <w:tc>
          <w:tcPr>
            <w:tcW w:type="dxa" w:w="2016"/>
            <w:vAlign w:val="top"/>
            <w:tcMar>
              <w:top w:w="70" w:type="dxa"/>
              <w:start w:w="90" w:type="dxa"/>
              <w:bottom w:w="70" w:type="dxa"/>
              <w:end w:w="90" w:type="dxa"/>
            </w:tcMar>
          </w:tcPr>
          <w:p>
            <w:pPr>
              <w:spacing w:after="20"/>
            </w:pPr>
            <w:r>
              <w:rPr>
                <w:rFonts w:ascii="Aptos" w:hAnsi="Aptos"/>
                <w:sz w:val="14"/>
              </w:rPr>
              <w:t>Partial provider reports</w:t>
            </w:r>
          </w:p>
        </w:tc>
        <w:tc>
          <w:tcPr>
            <w:tcW w:type="dxa" w:w="4392"/>
            <w:vAlign w:val="top"/>
            <w:tcMar>
              <w:top w:w="70" w:type="dxa"/>
              <w:start w:w="90" w:type="dxa"/>
              <w:bottom w:w="70" w:type="dxa"/>
              <w:end w:w="90" w:type="dxa"/>
            </w:tcMar>
          </w:tcPr>
          <w:p>
            <w:pPr>
              <w:spacing w:after="20"/>
            </w:pPr>
            <w:r>
              <w:rPr>
                <w:rFonts w:ascii="Aptos" w:hAnsi="Aptos"/>
                <w:sz w:val="14"/>
              </w:rPr>
              <w:t>Canonical metric dictionary, normalized records, comparison views, conversion attribution labels, currency/time-zone control, freshness and cached snapshots.</w:t>
            </w:r>
          </w:p>
        </w:tc>
        <w:tc>
          <w:tcPr>
            <w:tcW w:type="dxa" w:w="936"/>
            <w:vAlign w:val="top"/>
            <w:tcMar>
              <w:top w:w="70" w:type="dxa"/>
              <w:start w:w="90" w:type="dxa"/>
              <w:bottom w:w="70" w:type="dxa"/>
              <w:end w:w="90" w:type="dxa"/>
            </w:tcMar>
          </w:tcPr>
          <w:p>
            <w:pPr>
              <w:spacing w:after="20"/>
            </w:pPr>
            <w:r>
              <w:rPr>
                <w:rFonts w:ascii="Aptos" w:hAnsi="Aptos"/>
                <w:sz w:val="14"/>
              </w:rPr>
              <w:t>P0</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Campaigns / groups / ads</w:t>
            </w:r>
          </w:p>
        </w:tc>
        <w:tc>
          <w:tcPr>
            <w:tcW w:type="dxa" w:w="2016"/>
            <w:vAlign w:val="top"/>
            <w:tcMar>
              <w:top w:w="70" w:type="dxa"/>
              <w:start w:w="90" w:type="dxa"/>
              <w:bottom w:w="70" w:type="dxa"/>
              <w:end w:w="90" w:type="dxa"/>
            </w:tcMar>
            <w:shd w:fill="F5F8FA"/>
          </w:tcPr>
          <w:p>
            <w:pPr>
              <w:spacing w:after="20"/>
            </w:pPr>
            <w:r>
              <w:rPr>
                <w:rFonts w:ascii="Aptos" w:hAnsi="Aptos"/>
                <w:sz w:val="14"/>
              </w:rPr>
              <w:t>Partial and provider-specific</w:t>
            </w:r>
          </w:p>
        </w:tc>
        <w:tc>
          <w:tcPr>
            <w:tcW w:type="dxa" w:w="4392"/>
            <w:vAlign w:val="top"/>
            <w:tcMar>
              <w:top w:w="70" w:type="dxa"/>
              <w:start w:w="90" w:type="dxa"/>
              <w:bottom w:w="70" w:type="dxa"/>
              <w:end w:w="90" w:type="dxa"/>
            </w:tcMar>
            <w:shd w:fill="F5F8FA"/>
          </w:tcPr>
          <w:p>
            <w:pPr>
              <w:spacing w:after="20"/>
            </w:pPr>
            <w:r>
              <w:rPr>
                <w:rFonts w:ascii="Aptos" w:hAnsi="Aptos"/>
                <w:sz w:val="14"/>
              </w:rPr>
              <w:t>Capability-driven UI and typed payloads; create/edit/pause/resume/duplicate/archive where available; safe confirmation and per-item results.</w:t>
            </w:r>
          </w:p>
        </w:tc>
        <w:tc>
          <w:tcPr>
            <w:tcW w:type="dxa" w:w="936"/>
            <w:vAlign w:val="top"/>
            <w:tcMar>
              <w:top w:w="70" w:type="dxa"/>
              <w:start w:w="90" w:type="dxa"/>
              <w:bottom w:w="70" w:type="dxa"/>
              <w:end w:w="90" w:type="dxa"/>
            </w:tcMar>
            <w:shd w:fill="F5F8FA"/>
          </w:tcPr>
          <w:p>
            <w:pPr>
              <w:spacing w:after="20"/>
            </w:pPr>
            <w:r>
              <w:rPr>
                <w:rFonts w:ascii="Aptos" w:hAnsi="Aptos"/>
                <w:sz w:val="14"/>
              </w:rPr>
              <w:t>P1</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Google targeting</w:t>
            </w:r>
          </w:p>
        </w:tc>
        <w:tc>
          <w:tcPr>
            <w:tcW w:type="dxa" w:w="2016"/>
            <w:vAlign w:val="top"/>
            <w:tcMar>
              <w:top w:w="70" w:type="dxa"/>
              <w:start w:w="90" w:type="dxa"/>
              <w:bottom w:w="70" w:type="dxa"/>
              <w:end w:w="90" w:type="dxa"/>
            </w:tcMar>
          </w:tcPr>
          <w:p>
            <w:pPr>
              <w:spacing w:after="20"/>
            </w:pPr>
            <w:r>
              <w:rPr>
                <w:rFonts w:ascii="Aptos" w:hAnsi="Aptos"/>
                <w:sz w:val="14"/>
              </w:rPr>
              <w:t>Partial keyword/search-term only</w:t>
            </w:r>
          </w:p>
        </w:tc>
        <w:tc>
          <w:tcPr>
            <w:tcW w:type="dxa" w:w="4392"/>
            <w:vAlign w:val="top"/>
            <w:tcMar>
              <w:top w:w="70" w:type="dxa"/>
              <w:start w:w="90" w:type="dxa"/>
              <w:bottom w:w="70" w:type="dxa"/>
              <w:end w:w="90" w:type="dxa"/>
            </w:tcMar>
          </w:tcPr>
          <w:p>
            <w:pPr>
              <w:spacing w:after="20"/>
            </w:pPr>
            <w:r>
              <w:rPr>
                <w:rFonts w:ascii="Aptos" w:hAnsi="Aptos"/>
                <w:sz w:val="14"/>
              </w:rPr>
              <w:t>Locations/exclusions, language, audience criteria, devices, placements/content exclusions, demographics, schedules, negative writes/shared lists and keyword planning.</w:t>
            </w:r>
          </w:p>
        </w:tc>
        <w:tc>
          <w:tcPr>
            <w:tcW w:type="dxa" w:w="936"/>
            <w:vAlign w:val="top"/>
            <w:tcMar>
              <w:top w:w="70" w:type="dxa"/>
              <w:start w:w="90" w:type="dxa"/>
              <w:bottom w:w="70" w:type="dxa"/>
              <w:end w:w="90" w:type="dxa"/>
            </w:tcMar>
          </w:tcPr>
          <w:p>
            <w:pPr>
              <w:spacing w:after="20"/>
            </w:pPr>
            <w:r>
              <w:rPr>
                <w:rFonts w:ascii="Aptos" w:hAnsi="Aptos"/>
                <w:sz w:val="14"/>
              </w:rPr>
              <w:t>P1</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Meta targeting &amp; audiences</w:t>
            </w:r>
          </w:p>
        </w:tc>
        <w:tc>
          <w:tcPr>
            <w:tcW w:type="dxa" w:w="2016"/>
            <w:vAlign w:val="top"/>
            <w:tcMar>
              <w:top w:w="70" w:type="dxa"/>
              <w:start w:w="90" w:type="dxa"/>
              <w:bottom w:w="70" w:type="dxa"/>
              <w:end w:w="90" w:type="dxa"/>
            </w:tcMar>
            <w:shd w:fill="F5F8FA"/>
          </w:tcPr>
          <w:p>
            <w:pPr>
              <w:spacing w:after="20"/>
            </w:pPr>
            <w:r>
              <w:rPr>
                <w:rFonts w:ascii="Aptos" w:hAnsi="Aptos"/>
                <w:sz w:val="14"/>
              </w:rPr>
              <w:t>Targeting update partial</w:t>
            </w:r>
          </w:p>
        </w:tc>
        <w:tc>
          <w:tcPr>
            <w:tcW w:type="dxa" w:w="4392"/>
            <w:vAlign w:val="top"/>
            <w:tcMar>
              <w:top w:w="70" w:type="dxa"/>
              <w:start w:w="90" w:type="dxa"/>
              <w:bottom w:w="70" w:type="dxa"/>
              <w:end w:w="90" w:type="dxa"/>
            </w:tcMar>
            <w:shd w:fill="F5F8FA"/>
          </w:tcPr>
          <w:p>
            <w:pPr>
              <w:spacing w:after="20"/>
            </w:pPr>
            <w:r>
              <w:rPr>
                <w:rFonts w:ascii="Aptos" w:hAnsi="Aptos"/>
                <w:sz w:val="14"/>
              </w:rPr>
              <w:t>Targeting search, custom/saved/lookalike audiences, exclusions, placements, schedule, geo/demographics and audience sync, subject to policy and eligibility.</w:t>
            </w:r>
          </w:p>
        </w:tc>
        <w:tc>
          <w:tcPr>
            <w:tcW w:type="dxa" w:w="936"/>
            <w:vAlign w:val="top"/>
            <w:tcMar>
              <w:top w:w="70" w:type="dxa"/>
              <w:start w:w="90" w:type="dxa"/>
              <w:bottom w:w="70" w:type="dxa"/>
              <w:end w:w="90" w:type="dxa"/>
            </w:tcMar>
            <w:shd w:fill="F5F8FA"/>
          </w:tcPr>
          <w:p>
            <w:pPr>
              <w:spacing w:after="20"/>
            </w:pPr>
            <w:r>
              <w:rPr>
                <w:rFonts w:ascii="Aptos" w:hAnsi="Aptos"/>
                <w:sz w:val="14"/>
              </w:rPr>
              <w:t>P1</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Google campaign types</w:t>
            </w:r>
          </w:p>
        </w:tc>
        <w:tc>
          <w:tcPr>
            <w:tcW w:type="dxa" w:w="2016"/>
            <w:vAlign w:val="top"/>
            <w:tcMar>
              <w:top w:w="70" w:type="dxa"/>
              <w:start w:w="90" w:type="dxa"/>
              <w:bottom w:w="70" w:type="dxa"/>
              <w:end w:w="90" w:type="dxa"/>
            </w:tcMar>
          </w:tcPr>
          <w:p>
            <w:pPr>
              <w:spacing w:after="20"/>
            </w:pPr>
            <w:r>
              <w:rPr>
                <w:rFonts w:ascii="Aptos" w:hAnsi="Aptos"/>
                <w:sz w:val="14"/>
              </w:rPr>
              <w:t>Search-oriented flow + constants</w:t>
            </w:r>
          </w:p>
        </w:tc>
        <w:tc>
          <w:tcPr>
            <w:tcW w:type="dxa" w:w="4392"/>
            <w:vAlign w:val="top"/>
            <w:tcMar>
              <w:top w:w="70" w:type="dxa"/>
              <w:start w:w="90" w:type="dxa"/>
              <w:bottom w:w="70" w:type="dxa"/>
              <w:end w:w="90" w:type="dxa"/>
            </w:tcMar>
          </w:tcPr>
          <w:p>
            <w:pPr>
              <w:spacing w:after="20"/>
            </w:pPr>
            <w:r>
              <w:rPr>
                <w:rFonts w:ascii="Aptos" w:hAnsi="Aptos"/>
                <w:sz w:val="14"/>
              </w:rPr>
              <w:t>Separate supported builders for Search first; later Performance Max asset groups/signals/listing groups, Shopping/Merchant Center, Video/YouTube, Display, Demand Gen and App.</w:t>
            </w:r>
          </w:p>
        </w:tc>
        <w:tc>
          <w:tcPr>
            <w:tcW w:type="dxa" w:w="936"/>
            <w:vAlign w:val="top"/>
            <w:tcMar>
              <w:top w:w="70" w:type="dxa"/>
              <w:start w:w="90" w:type="dxa"/>
              <w:bottom w:w="70" w:type="dxa"/>
              <w:end w:w="90" w:type="dxa"/>
            </w:tcMar>
          </w:tcPr>
          <w:p>
            <w:pPr>
              <w:spacing w:after="20"/>
            </w:pPr>
            <w:r>
              <w:rPr>
                <w:rFonts w:ascii="Aptos" w:hAnsi="Aptos"/>
                <w:sz w:val="14"/>
              </w:rPr>
              <w:t>P1/P2</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Meta creative formats</w:t>
            </w:r>
          </w:p>
        </w:tc>
        <w:tc>
          <w:tcPr>
            <w:tcW w:type="dxa" w:w="2016"/>
            <w:vAlign w:val="top"/>
            <w:tcMar>
              <w:top w:w="70" w:type="dxa"/>
              <w:start w:w="90" w:type="dxa"/>
              <w:bottom w:w="70" w:type="dxa"/>
              <w:end w:w="90" w:type="dxa"/>
            </w:tcMar>
            <w:shd w:fill="F5F8FA"/>
          </w:tcPr>
          <w:p>
            <w:pPr>
              <w:spacing w:after="20"/>
            </w:pPr>
            <w:r>
              <w:rPr>
                <w:rFonts w:ascii="Aptos" w:hAnsi="Aptos"/>
                <w:sz w:val="14"/>
              </w:rPr>
              <w:t>Image/video + link creative basis</w:t>
            </w:r>
          </w:p>
        </w:tc>
        <w:tc>
          <w:tcPr>
            <w:tcW w:type="dxa" w:w="4392"/>
            <w:vAlign w:val="top"/>
            <w:tcMar>
              <w:top w:w="70" w:type="dxa"/>
              <w:start w:w="90" w:type="dxa"/>
              <w:bottom w:w="70" w:type="dxa"/>
              <w:end w:w="90" w:type="dxa"/>
            </w:tcMar>
            <w:shd w:fill="F5F8FA"/>
          </w:tcPr>
          <w:p>
            <w:pPr>
              <w:spacing w:after="20"/>
            </w:pPr>
            <w:r>
              <w:rPr>
                <w:rFonts w:ascii="Aptos" w:hAnsi="Aptos"/>
                <w:sz w:val="14"/>
              </w:rPr>
              <w:t>Carousel, catalog/dynamic ads, eligible Advantage+ structures, media processing, creative policy/rejection status and Page/Instagram identity discovery.</w:t>
            </w:r>
          </w:p>
        </w:tc>
        <w:tc>
          <w:tcPr>
            <w:tcW w:type="dxa" w:w="936"/>
            <w:vAlign w:val="top"/>
            <w:tcMar>
              <w:top w:w="70" w:type="dxa"/>
              <w:start w:w="90" w:type="dxa"/>
              <w:bottom w:w="70" w:type="dxa"/>
              <w:end w:w="90" w:type="dxa"/>
            </w:tcMar>
            <w:shd w:fill="F5F8FA"/>
          </w:tcPr>
          <w:p>
            <w:pPr>
              <w:spacing w:after="20"/>
            </w:pPr>
            <w:r>
              <w:rPr>
                <w:rFonts w:ascii="Aptos" w:hAnsi="Aptos"/>
                <w:sz w:val="14"/>
              </w:rPr>
              <w:t>P1/P2</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Conversion measurement</w:t>
            </w:r>
          </w:p>
        </w:tc>
        <w:tc>
          <w:tcPr>
            <w:tcW w:type="dxa" w:w="2016"/>
            <w:vAlign w:val="top"/>
            <w:tcMar>
              <w:top w:w="70" w:type="dxa"/>
              <w:start w:w="90" w:type="dxa"/>
              <w:bottom w:w="70" w:type="dxa"/>
              <w:end w:w="90" w:type="dxa"/>
            </w:tcMar>
          </w:tcPr>
          <w:p>
            <w:pPr>
              <w:spacing w:after="20"/>
            </w:pPr>
            <w:r>
              <w:rPr>
                <w:rFonts w:ascii="Aptos" w:hAnsi="Aptos"/>
                <w:sz w:val="14"/>
              </w:rPr>
              <w:t>Google reports only; no Meta CAPI module</w:t>
            </w:r>
          </w:p>
        </w:tc>
        <w:tc>
          <w:tcPr>
            <w:tcW w:type="dxa" w:w="4392"/>
            <w:vAlign w:val="top"/>
            <w:tcMar>
              <w:top w:w="70" w:type="dxa"/>
              <w:start w:w="90" w:type="dxa"/>
              <w:bottom w:w="70" w:type="dxa"/>
              <w:end w:w="90" w:type="dxa"/>
            </w:tcMar>
          </w:tcPr>
          <w:p>
            <w:pPr>
              <w:spacing w:after="20"/>
            </w:pPr>
            <w:r>
              <w:rPr>
                <w:rFonts w:ascii="Aptos" w:hAnsi="Aptos"/>
                <w:sz w:val="14"/>
              </w:rPr>
              <w:t>Google conversion actions/goals and Data Manager event/audience integration; Meta Pixel/Dataset discovery, Conversions API, test events, event deduplication and diagnostics.</w:t>
            </w:r>
          </w:p>
        </w:tc>
        <w:tc>
          <w:tcPr>
            <w:tcW w:type="dxa" w:w="936"/>
            <w:vAlign w:val="top"/>
            <w:tcMar>
              <w:top w:w="70" w:type="dxa"/>
              <w:start w:w="90" w:type="dxa"/>
              <w:bottom w:w="70" w:type="dxa"/>
              <w:end w:w="90" w:type="dxa"/>
            </w:tcMar>
          </w:tcPr>
          <w:p>
            <w:pPr>
              <w:spacing w:after="20"/>
            </w:pPr>
            <w:r>
              <w:rPr>
                <w:rFonts w:ascii="Aptos" w:hAnsi="Aptos"/>
                <w:sz w:val="14"/>
              </w:rPr>
              <w:t>P1</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Lead generation / CRM</w:t>
            </w:r>
          </w:p>
        </w:tc>
        <w:tc>
          <w:tcPr>
            <w:tcW w:type="dxa" w:w="2016"/>
            <w:vAlign w:val="top"/>
            <w:tcMar>
              <w:top w:w="70" w:type="dxa"/>
              <w:start w:w="90" w:type="dxa"/>
              <w:bottom w:w="70" w:type="dxa"/>
              <w:end w:w="90" w:type="dxa"/>
            </w:tcMar>
            <w:shd w:fill="F5F8FA"/>
          </w:tcPr>
          <w:p>
            <w:pPr>
              <w:spacing w:after="20"/>
            </w:pPr>
            <w:r>
              <w:rPr>
                <w:rFonts w:ascii="Aptos" w:hAnsi="Aptos"/>
                <w:sz w:val="14"/>
              </w:rPr>
              <w:t>Not found as complete module</w:t>
            </w:r>
          </w:p>
        </w:tc>
        <w:tc>
          <w:tcPr>
            <w:tcW w:type="dxa" w:w="4392"/>
            <w:vAlign w:val="top"/>
            <w:tcMar>
              <w:top w:w="70" w:type="dxa"/>
              <w:start w:w="90" w:type="dxa"/>
              <w:bottom w:w="70" w:type="dxa"/>
              <w:end w:w="90" w:type="dxa"/>
            </w:tcMar>
            <w:shd w:fill="F5F8FA"/>
          </w:tcPr>
          <w:p>
            <w:pPr>
              <w:spacing w:after="20"/>
            </w:pPr>
            <w:r>
              <w:rPr>
                <w:rFonts w:ascii="Aptos" w:hAnsi="Aptos"/>
                <w:sz w:val="14"/>
              </w:rPr>
              <w:t>Meta lead forms/leads and eligible Google lead-form assets; consented CRM sync and lead routing if in product scope.</w:t>
            </w:r>
          </w:p>
        </w:tc>
        <w:tc>
          <w:tcPr>
            <w:tcW w:type="dxa" w:w="936"/>
            <w:vAlign w:val="top"/>
            <w:tcMar>
              <w:top w:w="70" w:type="dxa"/>
              <w:start w:w="90" w:type="dxa"/>
              <w:bottom w:w="70" w:type="dxa"/>
              <w:end w:w="90" w:type="dxa"/>
            </w:tcMar>
            <w:shd w:fill="F5F8FA"/>
          </w:tcPr>
          <w:p>
            <w:pPr>
              <w:spacing w:after="20"/>
            </w:pPr>
            <w:r>
              <w:rPr>
                <w:rFonts w:ascii="Aptos" w:hAnsi="Aptos"/>
                <w:sz w:val="14"/>
              </w:rPr>
              <w:t>P2</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Billing &amp; spend</w:t>
            </w:r>
          </w:p>
        </w:tc>
        <w:tc>
          <w:tcPr>
            <w:tcW w:type="dxa" w:w="2016"/>
            <w:vAlign w:val="top"/>
            <w:tcMar>
              <w:top w:w="70" w:type="dxa"/>
              <w:start w:w="90" w:type="dxa"/>
              <w:bottom w:w="70" w:type="dxa"/>
              <w:end w:w="90" w:type="dxa"/>
            </w:tcMar>
          </w:tcPr>
          <w:p>
            <w:pPr>
              <w:spacing w:after="20"/>
            </w:pPr>
            <w:r>
              <w:rPr>
                <w:rFonts w:ascii="Aptos" w:hAnsi="Aptos"/>
                <w:sz w:val="14"/>
              </w:rPr>
              <w:t>Google campaign budgets; Meta Ad Set billing_event</w:t>
            </w:r>
          </w:p>
        </w:tc>
        <w:tc>
          <w:tcPr>
            <w:tcW w:type="dxa" w:w="4392"/>
            <w:vAlign w:val="top"/>
            <w:tcMar>
              <w:top w:w="70" w:type="dxa"/>
              <w:start w:w="90" w:type="dxa"/>
              <w:bottom w:w="70" w:type="dxa"/>
              <w:end w:w="90" w:type="dxa"/>
            </w:tcMar>
          </w:tcPr>
          <w:p>
            <w:pPr>
              <w:spacing w:after="20"/>
            </w:pPr>
            <w:r>
              <w:rPr>
                <w:rFonts w:ascii="Aptos" w:hAnsi="Aptos"/>
                <w:sz w:val="14"/>
              </w:rPr>
              <w:t>Separate SaaS subscription billing from advertiser billing. Add supported account spending/invoice workflows only where providers permit them.</w:t>
            </w:r>
          </w:p>
        </w:tc>
        <w:tc>
          <w:tcPr>
            <w:tcW w:type="dxa" w:w="936"/>
            <w:vAlign w:val="top"/>
            <w:tcMar>
              <w:top w:w="70" w:type="dxa"/>
              <w:start w:w="90" w:type="dxa"/>
              <w:bottom w:w="70" w:type="dxa"/>
              <w:end w:w="90" w:type="dxa"/>
            </w:tcMar>
          </w:tcPr>
          <w:p>
            <w:pPr>
              <w:spacing w:after="20"/>
            </w:pPr>
            <w:r>
              <w:rPr>
                <w:rFonts w:ascii="Aptos" w:hAnsi="Aptos"/>
                <w:sz w:val="14"/>
              </w:rPr>
              <w:t>P2</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Accounts &amp; business assets</w:t>
            </w:r>
          </w:p>
        </w:tc>
        <w:tc>
          <w:tcPr>
            <w:tcW w:type="dxa" w:w="2016"/>
            <w:vAlign w:val="top"/>
            <w:tcMar>
              <w:top w:w="70" w:type="dxa"/>
              <w:start w:w="90" w:type="dxa"/>
              <w:bottom w:w="70" w:type="dxa"/>
              <w:end w:w="90" w:type="dxa"/>
            </w:tcMar>
            <w:shd w:fill="F5F8FA"/>
          </w:tcPr>
          <w:p>
            <w:pPr>
              <w:spacing w:after="20"/>
            </w:pPr>
            <w:r>
              <w:rPr>
                <w:rFonts w:ascii="Aptos" w:hAnsi="Aptos"/>
                <w:sz w:val="14"/>
              </w:rPr>
              <w:t>Basic Google accessible customers; Meta ad accounts/permissions</w:t>
            </w:r>
          </w:p>
        </w:tc>
        <w:tc>
          <w:tcPr>
            <w:tcW w:type="dxa" w:w="4392"/>
            <w:vAlign w:val="top"/>
            <w:tcMar>
              <w:top w:w="70" w:type="dxa"/>
              <w:start w:w="90" w:type="dxa"/>
              <w:bottom w:w="70" w:type="dxa"/>
              <w:end w:w="90" w:type="dxa"/>
            </w:tcMar>
            <w:shd w:fill="F5F8FA"/>
          </w:tcPr>
          <w:p>
            <w:pPr>
              <w:spacing w:after="20"/>
            </w:pPr>
            <w:r>
              <w:rPr>
                <w:rFonts w:ascii="Aptos" w:hAnsi="Aptos"/>
                <w:sz w:val="14"/>
              </w:rPr>
              <w:t>Manager-account context where needed, Meta Business/Page/Instagram/pixel/catalog relationships, access diagnostics and asset linking.</w:t>
            </w:r>
          </w:p>
        </w:tc>
        <w:tc>
          <w:tcPr>
            <w:tcW w:type="dxa" w:w="936"/>
            <w:vAlign w:val="top"/>
            <w:tcMar>
              <w:top w:w="70" w:type="dxa"/>
              <w:start w:w="90" w:type="dxa"/>
              <w:bottom w:w="70" w:type="dxa"/>
              <w:end w:w="90" w:type="dxa"/>
            </w:tcMar>
            <w:shd w:fill="F5F8FA"/>
          </w:tcPr>
          <w:p>
            <w:pPr>
              <w:spacing w:after="20"/>
            </w:pPr>
            <w:r>
              <w:rPr>
                <w:rFonts w:ascii="Aptos" w:hAnsi="Aptos"/>
                <w:sz w:val="14"/>
              </w:rPr>
              <w:t>P1/P2</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Reports &amp; exports</w:t>
            </w:r>
          </w:p>
        </w:tc>
        <w:tc>
          <w:tcPr>
            <w:tcW w:type="dxa" w:w="2016"/>
            <w:vAlign w:val="top"/>
            <w:tcMar>
              <w:top w:w="70" w:type="dxa"/>
              <w:start w:w="90" w:type="dxa"/>
              <w:bottom w:w="70" w:type="dxa"/>
              <w:end w:w="90" w:type="dxa"/>
            </w:tcMar>
          </w:tcPr>
          <w:p>
            <w:pPr>
              <w:spacing w:after="20"/>
            </w:pPr>
            <w:r>
              <w:rPr>
                <w:rFonts w:ascii="Aptos" w:hAnsi="Aptos"/>
                <w:sz w:val="14"/>
              </w:rPr>
              <w:t>Strong provider-side report routes</w:t>
            </w:r>
          </w:p>
        </w:tc>
        <w:tc>
          <w:tcPr>
            <w:tcW w:type="dxa" w:w="4392"/>
            <w:vAlign w:val="top"/>
            <w:tcMar>
              <w:top w:w="70" w:type="dxa"/>
              <w:start w:w="90" w:type="dxa"/>
              <w:bottom w:w="70" w:type="dxa"/>
              <w:end w:w="90" w:type="dxa"/>
            </w:tcMar>
          </w:tcPr>
          <w:p>
            <w:pPr>
              <w:spacing w:after="20"/>
            </w:pPr>
            <w:r>
              <w:rPr>
                <w:rFonts w:ascii="Aptos" w:hAnsi="Aptos"/>
                <w:sz w:val="14"/>
              </w:rPr>
              <w:t>CSV/export, scheduled reports, saved views, custom date ranges, report definitions, async large queries, local snapshots and data retention policy.</w:t>
            </w:r>
          </w:p>
        </w:tc>
        <w:tc>
          <w:tcPr>
            <w:tcW w:type="dxa" w:w="936"/>
            <w:vAlign w:val="top"/>
            <w:tcMar>
              <w:top w:w="70" w:type="dxa"/>
              <w:start w:w="90" w:type="dxa"/>
              <w:bottom w:w="70" w:type="dxa"/>
              <w:end w:w="90" w:type="dxa"/>
            </w:tcMar>
          </w:tcPr>
          <w:p>
            <w:pPr>
              <w:spacing w:after="20"/>
            </w:pPr>
            <w:r>
              <w:rPr>
                <w:rFonts w:ascii="Aptos" w:hAnsi="Aptos"/>
                <w:sz w:val="14"/>
              </w:rPr>
              <w:t>P1</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Automation &amp; optimization</w:t>
            </w:r>
          </w:p>
        </w:tc>
        <w:tc>
          <w:tcPr>
            <w:tcW w:type="dxa" w:w="2016"/>
            <w:vAlign w:val="top"/>
            <w:tcMar>
              <w:top w:w="70" w:type="dxa"/>
              <w:start w:w="90" w:type="dxa"/>
              <w:bottom w:w="70" w:type="dxa"/>
              <w:end w:w="90" w:type="dxa"/>
            </w:tcMar>
            <w:shd w:fill="F5F8FA"/>
          </w:tcPr>
          <w:p>
            <w:pPr>
              <w:spacing w:after="20"/>
            </w:pPr>
            <w:r>
              <w:rPr>
                <w:rFonts w:ascii="Aptos" w:hAnsi="Aptos"/>
                <w:sz w:val="14"/>
              </w:rPr>
              <w:t>Bidding configs; negative-keyword candidates</w:t>
            </w:r>
          </w:p>
        </w:tc>
        <w:tc>
          <w:tcPr>
            <w:tcW w:type="dxa" w:w="4392"/>
            <w:vAlign w:val="top"/>
            <w:tcMar>
              <w:top w:w="70" w:type="dxa"/>
              <w:start w:w="90" w:type="dxa"/>
              <w:bottom w:w="70" w:type="dxa"/>
              <w:end w:w="90" w:type="dxa"/>
            </w:tcMar>
            <w:shd w:fill="F5F8FA"/>
          </w:tcPr>
          <w:p>
            <w:pPr>
              <w:spacing w:after="20"/>
            </w:pPr>
            <w:r>
              <w:rPr>
                <w:rFonts w:ascii="Aptos" w:hAnsi="Aptos"/>
                <w:sz w:val="14"/>
              </w:rPr>
              <w:t>Rules, alert thresholds, recommendations, experiments, change approvals, budget guardrails, rollback/reconciliation and human review.</w:t>
            </w:r>
          </w:p>
        </w:tc>
        <w:tc>
          <w:tcPr>
            <w:tcW w:type="dxa" w:w="936"/>
            <w:vAlign w:val="top"/>
            <w:tcMar>
              <w:top w:w="70" w:type="dxa"/>
              <w:start w:w="90" w:type="dxa"/>
              <w:bottom w:w="70" w:type="dxa"/>
              <w:end w:w="90" w:type="dxa"/>
            </w:tcMar>
            <w:shd w:fill="F5F8FA"/>
          </w:tcPr>
          <w:p>
            <w:pPr>
              <w:spacing w:after="20"/>
            </w:pPr>
            <w:r>
              <w:rPr>
                <w:rFonts w:ascii="Aptos" w:hAnsi="Aptos"/>
                <w:sz w:val="14"/>
              </w:rPr>
              <w:t>P2</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Billing for the SaaS</w:t>
            </w:r>
          </w:p>
        </w:tc>
        <w:tc>
          <w:tcPr>
            <w:tcW w:type="dxa" w:w="2016"/>
            <w:vAlign w:val="top"/>
            <w:tcMar>
              <w:top w:w="70" w:type="dxa"/>
              <w:start w:w="90" w:type="dxa"/>
              <w:bottom w:w="70" w:type="dxa"/>
              <w:end w:w="90" w:type="dxa"/>
            </w:tcMar>
          </w:tcPr>
          <w:p>
            <w:pPr>
              <w:spacing w:after="20"/>
            </w:pPr>
            <w:r>
              <w:rPr>
                <w:rFonts w:ascii="Aptos" w:hAnsi="Aptos"/>
                <w:sz w:val="14"/>
              </w:rPr>
              <w:t>Not found</w:t>
            </w:r>
          </w:p>
        </w:tc>
        <w:tc>
          <w:tcPr>
            <w:tcW w:type="dxa" w:w="4392"/>
            <w:vAlign w:val="top"/>
            <w:tcMar>
              <w:top w:w="70" w:type="dxa"/>
              <w:start w:w="90" w:type="dxa"/>
              <w:bottom w:w="70" w:type="dxa"/>
              <w:end w:w="90" w:type="dxa"/>
            </w:tcMar>
          </w:tcPr>
          <w:p>
            <w:pPr>
              <w:spacing w:after="20"/>
            </w:pPr>
            <w:r>
              <w:rPr>
                <w:rFonts w:ascii="Aptos" w:hAnsi="Aptos"/>
                <w:sz w:val="14"/>
              </w:rPr>
              <w:t>Plans, subscription status, usage limits, invoices/payment processor integration and admin billing screen.</w:t>
            </w:r>
          </w:p>
        </w:tc>
        <w:tc>
          <w:tcPr>
            <w:tcW w:type="dxa" w:w="936"/>
            <w:vAlign w:val="top"/>
            <w:tcMar>
              <w:top w:w="70" w:type="dxa"/>
              <w:start w:w="90" w:type="dxa"/>
              <w:bottom w:w="70" w:type="dxa"/>
              <w:end w:w="90" w:type="dxa"/>
            </w:tcMar>
          </w:tcPr>
          <w:p>
            <w:pPr>
              <w:spacing w:after="20"/>
            </w:pPr>
            <w:r>
              <w:rPr>
                <w:rFonts w:ascii="Aptos" w:hAnsi="Aptos"/>
                <w:sz w:val="14"/>
              </w:rPr>
              <w:t>P2 if monetized</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4"/>
              </w:rPr>
              <w:t>More networks</w:t>
            </w:r>
          </w:p>
        </w:tc>
        <w:tc>
          <w:tcPr>
            <w:tcW w:type="dxa" w:w="2016"/>
            <w:vAlign w:val="top"/>
            <w:tcMar>
              <w:top w:w="70" w:type="dxa"/>
              <w:start w:w="90" w:type="dxa"/>
              <w:bottom w:w="70" w:type="dxa"/>
              <w:end w:w="90" w:type="dxa"/>
            </w:tcMar>
            <w:shd w:fill="F5F8FA"/>
          </w:tcPr>
          <w:p>
            <w:pPr>
              <w:spacing w:after="20"/>
            </w:pPr>
            <w:r>
              <w:rPr>
                <w:rFonts w:ascii="Aptos" w:hAnsi="Aptos"/>
                <w:sz w:val="14"/>
              </w:rPr>
              <w:t>None in the ZIP</w:t>
            </w:r>
          </w:p>
        </w:tc>
        <w:tc>
          <w:tcPr>
            <w:tcW w:type="dxa" w:w="4392"/>
            <w:vAlign w:val="top"/>
            <w:tcMar>
              <w:top w:w="70" w:type="dxa"/>
              <w:start w:w="90" w:type="dxa"/>
              <w:bottom w:w="70" w:type="dxa"/>
              <w:end w:w="90" w:type="dxa"/>
            </w:tcMar>
            <w:shd w:fill="F5F8FA"/>
          </w:tcPr>
          <w:p>
            <w:pPr>
              <w:spacing w:after="20"/>
            </w:pPr>
            <w:r>
              <w:rPr>
                <w:rFonts w:ascii="Aptos" w:hAnsi="Aptos"/>
                <w:sz w:val="14"/>
              </w:rPr>
              <w:t>Add TikTok/LinkedIn adapters only after the provider-neutral contract is proven with Google and Meta.</w:t>
            </w:r>
          </w:p>
        </w:tc>
        <w:tc>
          <w:tcPr>
            <w:tcW w:type="dxa" w:w="936"/>
            <w:vAlign w:val="top"/>
            <w:tcMar>
              <w:top w:w="70" w:type="dxa"/>
              <w:start w:w="90" w:type="dxa"/>
              <w:bottom w:w="70" w:type="dxa"/>
              <w:end w:w="90" w:type="dxa"/>
            </w:tcMar>
            <w:shd w:fill="F5F8FA"/>
          </w:tcPr>
          <w:p>
            <w:pPr>
              <w:spacing w:after="20"/>
            </w:pPr>
            <w:r>
              <w:rPr>
                <w:rFonts w:ascii="Aptos" w:hAnsi="Aptos"/>
                <w:sz w:val="14"/>
              </w:rPr>
              <w:t>Later</w:t>
            </w:r>
          </w:p>
        </w:tc>
      </w:tr>
      <w:tr>
        <w:trPr>
          <w:cantSplit/>
        </w:trPr>
        <w:tc>
          <w:tcPr>
            <w:tcW w:type="dxa" w:w="1944"/>
            <w:vAlign w:val="top"/>
            <w:tcMar>
              <w:top w:w="70" w:type="dxa"/>
              <w:start w:w="90" w:type="dxa"/>
              <w:bottom w:w="70" w:type="dxa"/>
              <w:end w:w="90" w:type="dxa"/>
            </w:tcMar>
          </w:tcPr>
          <w:p>
            <w:pPr>
              <w:spacing w:after="20"/>
            </w:pPr>
            <w:r>
              <w:rPr>
                <w:rFonts w:ascii="Aptos" w:hAnsi="Aptos"/>
                <w:sz w:val="14"/>
              </w:rPr>
              <w:t>Public API / AI command layer</w:t>
            </w:r>
          </w:p>
        </w:tc>
        <w:tc>
          <w:tcPr>
            <w:tcW w:type="dxa" w:w="2016"/>
            <w:vAlign w:val="top"/>
            <w:tcMar>
              <w:top w:w="70" w:type="dxa"/>
              <w:start w:w="90" w:type="dxa"/>
              <w:bottom w:w="70" w:type="dxa"/>
              <w:end w:w="90" w:type="dxa"/>
            </w:tcMar>
          </w:tcPr>
          <w:p>
            <w:pPr>
              <w:spacing w:after="20"/>
            </w:pPr>
            <w:r>
              <w:rPr>
                <w:rFonts w:ascii="Aptos" w:hAnsi="Aptos"/>
                <w:sz w:val="14"/>
              </w:rPr>
              <w:t>Not found</w:t>
            </w:r>
          </w:p>
        </w:tc>
        <w:tc>
          <w:tcPr>
            <w:tcW w:type="dxa" w:w="4392"/>
            <w:vAlign w:val="top"/>
            <w:tcMar>
              <w:top w:w="70" w:type="dxa"/>
              <w:start w:w="90" w:type="dxa"/>
              <w:bottom w:w="70" w:type="dxa"/>
              <w:end w:w="90" w:type="dxa"/>
            </w:tcMar>
          </w:tcPr>
          <w:p>
            <w:pPr>
              <w:spacing w:after="20"/>
            </w:pPr>
            <w:r>
              <w:rPr>
                <w:rFonts w:ascii="Aptos" w:hAnsi="Aptos"/>
                <w:sz w:val="14"/>
              </w:rPr>
              <w:t>Versioned public endpoints, API keys/webhooks, permissions and typed natural-language-to-action planning with preview and confirmation.</w:t>
            </w:r>
          </w:p>
        </w:tc>
        <w:tc>
          <w:tcPr>
            <w:tcW w:type="dxa" w:w="936"/>
            <w:vAlign w:val="top"/>
            <w:tcMar>
              <w:top w:w="70" w:type="dxa"/>
              <w:start w:w="90" w:type="dxa"/>
              <w:bottom w:w="70" w:type="dxa"/>
              <w:end w:w="90" w:type="dxa"/>
            </w:tcMar>
          </w:tcPr>
          <w:p>
            <w:pPr>
              <w:spacing w:after="20"/>
            </w:pPr>
            <w:r>
              <w:rPr>
                <w:rFonts w:ascii="Aptos" w:hAnsi="Aptos"/>
                <w:sz w:val="14"/>
              </w:rPr>
              <w:t>Later</w:t>
            </w:r>
          </w:p>
        </w:tc>
      </w:tr>
    </w:tbl>
    <w:p>
      <w:pPr>
        <w:spacing w:after="20"/>
      </w:pPr>
    </w:p>
    <w:p>
      <w:pPr>
        <w:pStyle w:val="Heading1"/>
      </w:pPr>
      <w:r>
        <w:t>7.1 Conversion measurement is three separate concerns</w:t>
      </w:r>
    </w:p>
    <w:p>
      <w:pPr>
        <w:pStyle w:val="ListBullet"/>
        <w:spacing w:after="40"/>
      </w:pPr>
      <w:r>
        <w:t>Reporting: read conversion metrics already attributed by the ad network. Google conversion-report routes and Meta Insights routes partially cover this.</w:t>
      </w:r>
    </w:p>
    <w:p>
      <w:pPr>
        <w:pStyle w:val="ListBullet"/>
        <w:spacing w:after="40"/>
      </w:pPr>
      <w:r>
        <w:t>Configuration: create/read/update conversion actions, goals, pixels/datasets and related measurement settings. This is mostly missing or incomplete in the supplied source.</w:t>
      </w:r>
    </w:p>
    <w:p>
      <w:pPr>
        <w:pStyle w:val="ListBullet"/>
        <w:spacing w:after="40"/>
      </w:pPr>
      <w:r>
        <w:t>Event delivery: send server-side, offline or first-party events to the provider; validate consent/data use, event IDs, deduplication, matching, retries and diagnostics. This is a separate integration from reporting.</w:t>
      </w:r>
    </w:p>
    <w:tbl>
      <w:tblPr>
        <w:tblW w:type="auto" w:w="0"/>
        <w:jc w:val="center"/>
        <w:tblLook w:firstColumn="1" w:firstRow="1" w:lastColumn="0" w:lastRow="0" w:noHBand="0" w:noVBand="1" w:val="04A0"/>
      </w:tblPr>
      <w:tblGrid>
        <w:gridCol w:w="10282"/>
      </w:tblGrid>
      <w:tr>
        <w:tc>
          <w:tcPr>
            <w:tcW w:type="dxa" w:w="10282"/>
            <w:shd w:fill="FFF2CC"/>
            <w:tcMar>
              <w:top w:w="130" w:type="dxa"/>
              <w:start w:w="160" w:type="dxa"/>
              <w:bottom w:w="130" w:type="dxa"/>
              <w:end w:w="160" w:type="dxa"/>
            </w:tcMar>
          </w:tcPr>
          <w:p>
            <w:pPr>
              <w:spacing w:after="40"/>
            </w:pPr>
            <w:r>
              <w:rPr>
                <w:b/>
                <w:color w:val="17365D"/>
                <w:sz w:val="22"/>
              </w:rPr>
              <w:t>Google-specific current note</w:t>
              <w:br/>
            </w:r>
            <w:r>
              <w:rPr>
                <w:sz w:val="18"/>
              </w:rPr>
              <w:t>Google’s current Data Manager API is the preferred path for several first-party audience and event-ingestion cases. Since 1 April 2026, most new Customer Match integrations must use Data Manager API rather than older Customer Match upload services. Design the conversion/audience module against current guidance rather than extending a legacy sample blindly.</w:t>
            </w:r>
          </w:p>
        </w:tc>
      </w:tr>
    </w:tbl>
    <w:p>
      <w:pPr>
        <w:spacing w:after="20"/>
      </w:pPr>
    </w:p>
    <w:p>
      <w:r>
        <w:br w:type="page"/>
      </w:r>
    </w:p>
    <w:p>
      <w:pPr>
        <w:pStyle w:val="Heading1"/>
      </w:pPr>
      <w:r>
        <w:t>8. Recommended architecture and data model</w:t>
      </w:r>
    </w:p>
    <w:p>
      <w:r>
        <w:t>Start with a modular monolith and separate background workers, not microservices. This keeps the first implementation manageable while preserving clean provider boundaries.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56"/>
            <w:shd w:fill="17365D"/>
            <w:vAlign w:val="center"/>
            <w:tcMar>
              <w:top w:w="70" w:type="dxa"/>
              <w:start w:w="90" w:type="dxa"/>
              <w:bottom w:w="70" w:type="dxa"/>
              <w:end w:w="90" w:type="dxa"/>
            </w:tcMar>
          </w:tcPr>
          <w:p>
            <w:pPr>
              <w:spacing w:after="0"/>
            </w:pPr>
            <w:r>
              <w:rPr>
                <w:b/>
                <w:color w:val="FFFFFF"/>
                <w:sz w:val="15"/>
              </w:rPr>
              <w:t>Layer</w:t>
            </w:r>
          </w:p>
        </w:tc>
        <w:tc>
          <w:tcPr>
            <w:tcW w:type="dxa" w:w="3888"/>
            <w:shd w:fill="17365D"/>
            <w:vAlign w:val="center"/>
            <w:tcMar>
              <w:top w:w="70" w:type="dxa"/>
              <w:start w:w="90" w:type="dxa"/>
              <w:bottom w:w="70" w:type="dxa"/>
              <w:end w:w="90" w:type="dxa"/>
            </w:tcMar>
          </w:tcPr>
          <w:p>
            <w:pPr>
              <w:spacing w:after="0"/>
            </w:pPr>
            <w:r>
              <w:rPr>
                <w:b/>
                <w:color w:val="FFFFFF"/>
                <w:sz w:val="15"/>
              </w:rPr>
              <w:t>Responsibility</w:t>
            </w:r>
          </w:p>
        </w:tc>
        <w:tc>
          <w:tcPr>
            <w:tcW w:type="dxa" w:w="3744"/>
            <w:shd w:fill="17365D"/>
            <w:vAlign w:val="center"/>
            <w:tcMar>
              <w:top w:w="70" w:type="dxa"/>
              <w:start w:w="90" w:type="dxa"/>
              <w:bottom w:w="70" w:type="dxa"/>
              <w:end w:w="90" w:type="dxa"/>
            </w:tcMar>
          </w:tcPr>
          <w:p>
            <w:pPr>
              <w:spacing w:after="0"/>
            </w:pPr>
            <w:r>
              <w:rPr>
                <w:b/>
                <w:color w:val="FFFFFF"/>
                <w:sz w:val="15"/>
              </w:rPr>
              <w:t>Suggested implementation</w:t>
            </w:r>
          </w:p>
        </w:tc>
      </w:tr>
      <w:tr>
        <w:trPr>
          <w:cantSplit/>
        </w:trPr>
        <w:tc>
          <w:tcPr>
            <w:tcW w:type="dxa" w:w="1656"/>
            <w:vAlign w:val="top"/>
            <w:tcMar>
              <w:top w:w="70" w:type="dxa"/>
              <w:start w:w="90" w:type="dxa"/>
              <w:bottom w:w="70" w:type="dxa"/>
              <w:end w:w="90" w:type="dxa"/>
            </w:tcMar>
          </w:tcPr>
          <w:p>
            <w:pPr>
              <w:spacing w:after="20"/>
            </w:pPr>
            <w:r>
              <w:rPr>
                <w:rFonts w:ascii="Aptos" w:hAnsi="Aptos"/>
                <w:sz w:val="15"/>
              </w:rPr>
              <w:t>Web app</w:t>
            </w:r>
          </w:p>
        </w:tc>
        <w:tc>
          <w:tcPr>
            <w:tcW w:type="dxa" w:w="3888"/>
            <w:vAlign w:val="top"/>
            <w:tcMar>
              <w:top w:w="70" w:type="dxa"/>
              <w:start w:w="90" w:type="dxa"/>
              <w:bottom w:w="70" w:type="dxa"/>
              <w:end w:w="90" w:type="dxa"/>
            </w:tcMar>
          </w:tcPr>
          <w:p>
            <w:pPr>
              <w:spacing w:after="20"/>
            </w:pPr>
            <w:r>
              <w:rPr>
                <w:rFonts w:ascii="Aptos" w:hAnsi="Aptos"/>
                <w:sz w:val="15"/>
              </w:rPr>
              <w:t>Dashboard, connections, account selector, reports, campaign editor, preview/confirm dialogs.</w:t>
            </w:r>
          </w:p>
        </w:tc>
        <w:tc>
          <w:tcPr>
            <w:tcW w:type="dxa" w:w="3744"/>
            <w:vAlign w:val="top"/>
            <w:tcMar>
              <w:top w:w="70" w:type="dxa"/>
              <w:start w:w="90" w:type="dxa"/>
              <w:bottom w:w="70" w:type="dxa"/>
              <w:end w:w="90" w:type="dxa"/>
            </w:tcMar>
          </w:tcPr>
          <w:p>
            <w:pPr>
              <w:spacing w:after="20"/>
            </w:pPr>
            <w:r>
              <w:rPr>
                <w:rFonts w:ascii="Aptos" w:hAnsi="Aptos"/>
                <w:sz w:val="15"/>
              </w:rPr>
              <w:t>React + TypeScript; not included in the ZIP.</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5"/>
              </w:rPr>
              <w:t>App API</w:t>
            </w:r>
          </w:p>
        </w:tc>
        <w:tc>
          <w:tcPr>
            <w:tcW w:type="dxa" w:w="3888"/>
            <w:vAlign w:val="top"/>
            <w:tcMar>
              <w:top w:w="70" w:type="dxa"/>
              <w:start w:w="90" w:type="dxa"/>
              <w:bottom w:w="70" w:type="dxa"/>
              <w:end w:w="90" w:type="dxa"/>
            </w:tcMar>
            <w:shd w:fill="F5F8FA"/>
          </w:tcPr>
          <w:p>
            <w:pPr>
              <w:spacing w:after="20"/>
            </w:pPr>
            <w:r>
              <w:rPr>
                <w:rFonts w:ascii="Aptos" w:hAnsi="Aptos"/>
                <w:sz w:val="15"/>
              </w:rPr>
              <w:t>User login, organization context, resource authorization, request validation, API versioning.</w:t>
            </w:r>
          </w:p>
        </w:tc>
        <w:tc>
          <w:tcPr>
            <w:tcW w:type="dxa" w:w="3744"/>
            <w:vAlign w:val="top"/>
            <w:tcMar>
              <w:top w:w="70" w:type="dxa"/>
              <w:start w:w="90" w:type="dxa"/>
              <w:bottom w:w="70" w:type="dxa"/>
              <w:end w:w="90" w:type="dxa"/>
            </w:tcMar>
            <w:shd w:fill="F5F8FA"/>
          </w:tcPr>
          <w:p>
            <w:pPr>
              <w:spacing w:after="20"/>
            </w:pPr>
            <w:r>
              <w:rPr>
                <w:rFonts w:ascii="Aptos" w:hAnsi="Aptos"/>
                <w:sz w:val="15"/>
              </w:rPr>
              <w:t>Node.js + TypeScript + Express/NestJS; use one framework consistently.</w:t>
            </w:r>
          </w:p>
        </w:tc>
      </w:tr>
      <w:tr>
        <w:trPr>
          <w:cantSplit/>
        </w:trPr>
        <w:tc>
          <w:tcPr>
            <w:tcW w:type="dxa" w:w="1656"/>
            <w:vAlign w:val="top"/>
            <w:tcMar>
              <w:top w:w="70" w:type="dxa"/>
              <w:start w:w="90" w:type="dxa"/>
              <w:bottom w:w="70" w:type="dxa"/>
              <w:end w:w="90" w:type="dxa"/>
            </w:tcMar>
          </w:tcPr>
          <w:p>
            <w:pPr>
              <w:spacing w:after="20"/>
            </w:pPr>
            <w:r>
              <w:rPr>
                <w:rFonts w:ascii="Aptos" w:hAnsi="Aptos"/>
                <w:sz w:val="15"/>
              </w:rPr>
              <w:t>Domain services</w:t>
            </w:r>
          </w:p>
        </w:tc>
        <w:tc>
          <w:tcPr>
            <w:tcW w:type="dxa" w:w="3888"/>
            <w:vAlign w:val="top"/>
            <w:tcMar>
              <w:top w:w="70" w:type="dxa"/>
              <w:start w:w="90" w:type="dxa"/>
              <w:bottom w:w="70" w:type="dxa"/>
              <w:end w:w="90" w:type="dxa"/>
            </w:tcMar>
          </w:tcPr>
          <w:p>
            <w:pPr>
              <w:spacing w:after="20"/>
            </w:pPr>
            <w:r>
              <w:rPr>
                <w:rFonts w:ascii="Aptos" w:hAnsi="Aptos"/>
                <w:sz w:val="15"/>
              </w:rPr>
              <w:t>Shared analytics, action orchestration, capability discovery, report exports, audit.</w:t>
            </w:r>
          </w:p>
        </w:tc>
        <w:tc>
          <w:tcPr>
            <w:tcW w:type="dxa" w:w="3744"/>
            <w:vAlign w:val="top"/>
            <w:tcMar>
              <w:top w:w="70" w:type="dxa"/>
              <w:start w:w="90" w:type="dxa"/>
              <w:bottom w:w="70" w:type="dxa"/>
              <w:end w:w="90" w:type="dxa"/>
            </w:tcMar>
          </w:tcPr>
          <w:p>
            <w:pPr>
              <w:spacing w:after="20"/>
            </w:pPr>
            <w:r>
              <w:rPr>
                <w:rFonts w:ascii="Aptos" w:hAnsi="Aptos"/>
                <w:sz w:val="15"/>
              </w:rPr>
              <w:t>Provider-neutral service contracts and explicit domain DTOs.</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5"/>
              </w:rPr>
              <w:t>Provider adapters</w:t>
            </w:r>
          </w:p>
        </w:tc>
        <w:tc>
          <w:tcPr>
            <w:tcW w:type="dxa" w:w="3888"/>
            <w:vAlign w:val="top"/>
            <w:tcMar>
              <w:top w:w="70" w:type="dxa"/>
              <w:start w:w="90" w:type="dxa"/>
              <w:bottom w:w="70" w:type="dxa"/>
              <w:end w:w="90" w:type="dxa"/>
            </w:tcMar>
            <w:shd w:fill="F5F8FA"/>
          </w:tcPr>
          <w:p>
            <w:pPr>
              <w:spacing w:after="20"/>
            </w:pPr>
            <w:r>
              <w:rPr>
                <w:rFonts w:ascii="Aptos" w:hAnsi="Aptos"/>
                <w:sz w:val="15"/>
              </w:rPr>
              <w:t>OAuth and native provider request/response mapping.</w:t>
            </w:r>
          </w:p>
        </w:tc>
        <w:tc>
          <w:tcPr>
            <w:tcW w:type="dxa" w:w="3744"/>
            <w:vAlign w:val="top"/>
            <w:tcMar>
              <w:top w:w="70" w:type="dxa"/>
              <w:start w:w="90" w:type="dxa"/>
              <w:bottom w:w="70" w:type="dxa"/>
              <w:end w:w="90" w:type="dxa"/>
            </w:tcMar>
            <w:shd w:fill="F5F8FA"/>
          </w:tcPr>
          <w:p>
            <w:pPr>
              <w:spacing w:after="20"/>
            </w:pPr>
            <w:r>
              <w:rPr>
                <w:rFonts w:ascii="Aptos" w:hAnsi="Aptos"/>
                <w:sz w:val="15"/>
              </w:rPr>
              <w:t>Google Ads adapter, Meta Marketing API adapter; provider-specific typed modules.</w:t>
            </w:r>
          </w:p>
        </w:tc>
      </w:tr>
      <w:tr>
        <w:trPr>
          <w:cantSplit/>
        </w:trPr>
        <w:tc>
          <w:tcPr>
            <w:tcW w:type="dxa" w:w="1656"/>
            <w:vAlign w:val="top"/>
            <w:tcMar>
              <w:top w:w="70" w:type="dxa"/>
              <w:start w:w="90" w:type="dxa"/>
              <w:bottom w:w="70" w:type="dxa"/>
              <w:end w:w="90" w:type="dxa"/>
            </w:tcMar>
          </w:tcPr>
          <w:p>
            <w:pPr>
              <w:spacing w:after="20"/>
            </w:pPr>
            <w:r>
              <w:rPr>
                <w:rFonts w:ascii="Aptos" w:hAnsi="Aptos"/>
                <w:sz w:val="15"/>
              </w:rPr>
              <w:t>Persistent data</w:t>
            </w:r>
          </w:p>
        </w:tc>
        <w:tc>
          <w:tcPr>
            <w:tcW w:type="dxa" w:w="3888"/>
            <w:vAlign w:val="top"/>
            <w:tcMar>
              <w:top w:w="70" w:type="dxa"/>
              <w:start w:w="90" w:type="dxa"/>
              <w:bottom w:w="70" w:type="dxa"/>
              <w:end w:w="90" w:type="dxa"/>
            </w:tcMar>
          </w:tcPr>
          <w:p>
            <w:pPr>
              <w:spacing w:after="20"/>
            </w:pPr>
            <w:r>
              <w:rPr>
                <w:rFonts w:ascii="Aptos" w:hAnsi="Aptos"/>
                <w:sz w:val="15"/>
              </w:rPr>
              <w:t>Workspace/account mapping, connections, cache snapshots, jobs, audit records.</w:t>
            </w:r>
          </w:p>
        </w:tc>
        <w:tc>
          <w:tcPr>
            <w:tcW w:type="dxa" w:w="3744"/>
            <w:vAlign w:val="top"/>
            <w:tcMar>
              <w:top w:w="70" w:type="dxa"/>
              <w:start w:w="90" w:type="dxa"/>
              <w:bottom w:w="70" w:type="dxa"/>
              <w:end w:w="90" w:type="dxa"/>
            </w:tcMar>
          </w:tcPr>
          <w:p>
            <w:pPr>
              <w:spacing w:after="20"/>
            </w:pPr>
            <w:r>
              <w:rPr>
                <w:rFonts w:ascii="Aptos" w:hAnsi="Aptos"/>
                <w:sz w:val="15"/>
              </w:rPr>
              <w:t>PostgreSQL + migrations + repositories.</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5"/>
              </w:rPr>
              <w:t>Credential vault</w:t>
            </w:r>
          </w:p>
        </w:tc>
        <w:tc>
          <w:tcPr>
            <w:tcW w:type="dxa" w:w="3888"/>
            <w:vAlign w:val="top"/>
            <w:tcMar>
              <w:top w:w="70" w:type="dxa"/>
              <w:start w:w="90" w:type="dxa"/>
              <w:bottom w:w="70" w:type="dxa"/>
              <w:end w:w="90" w:type="dxa"/>
            </w:tcMar>
            <w:shd w:fill="F5F8FA"/>
          </w:tcPr>
          <w:p>
            <w:pPr>
              <w:spacing w:after="20"/>
            </w:pPr>
            <w:r>
              <w:rPr>
                <w:rFonts w:ascii="Aptos" w:hAnsi="Aptos"/>
                <w:sz w:val="15"/>
              </w:rPr>
              <w:t>Encrypted tokens, OAuth client secrets, key references.</w:t>
            </w:r>
          </w:p>
        </w:tc>
        <w:tc>
          <w:tcPr>
            <w:tcW w:type="dxa" w:w="3744"/>
            <w:vAlign w:val="top"/>
            <w:tcMar>
              <w:top w:w="70" w:type="dxa"/>
              <w:start w:w="90" w:type="dxa"/>
              <w:bottom w:w="70" w:type="dxa"/>
              <w:end w:w="90" w:type="dxa"/>
            </w:tcMar>
            <w:shd w:fill="F5F8FA"/>
          </w:tcPr>
          <w:p>
            <w:pPr>
              <w:spacing w:after="20"/>
            </w:pPr>
            <w:r>
              <w:rPr>
                <w:rFonts w:ascii="Aptos" w:hAnsi="Aptos"/>
                <w:sz w:val="15"/>
              </w:rPr>
              <w:t>KMS-backed envelope encryption or equivalent managed secret/key facility.</w:t>
            </w:r>
          </w:p>
        </w:tc>
      </w:tr>
      <w:tr>
        <w:trPr>
          <w:cantSplit/>
        </w:trPr>
        <w:tc>
          <w:tcPr>
            <w:tcW w:type="dxa" w:w="1656"/>
            <w:vAlign w:val="top"/>
            <w:tcMar>
              <w:top w:w="70" w:type="dxa"/>
              <w:start w:w="90" w:type="dxa"/>
              <w:bottom w:w="70" w:type="dxa"/>
              <w:end w:w="90" w:type="dxa"/>
            </w:tcMar>
          </w:tcPr>
          <w:p>
            <w:pPr>
              <w:spacing w:after="20"/>
            </w:pPr>
            <w:r>
              <w:rPr>
                <w:rFonts w:ascii="Aptos" w:hAnsi="Aptos"/>
                <w:sz w:val="15"/>
              </w:rPr>
              <w:t>Workers/queues</w:t>
            </w:r>
          </w:p>
        </w:tc>
        <w:tc>
          <w:tcPr>
            <w:tcW w:type="dxa" w:w="3888"/>
            <w:vAlign w:val="top"/>
            <w:tcMar>
              <w:top w:w="70" w:type="dxa"/>
              <w:start w:w="90" w:type="dxa"/>
              <w:bottom w:w="70" w:type="dxa"/>
              <w:end w:w="90" w:type="dxa"/>
            </w:tcMar>
          </w:tcPr>
          <w:p>
            <w:pPr>
              <w:spacing w:after="20"/>
            </w:pPr>
            <w:r>
              <w:rPr>
                <w:rFonts w:ascii="Aptos" w:hAnsi="Aptos"/>
                <w:sz w:val="15"/>
              </w:rPr>
              <w:t>Sync, large reports, media upload, bulk actions and retries.</w:t>
            </w:r>
          </w:p>
        </w:tc>
        <w:tc>
          <w:tcPr>
            <w:tcW w:type="dxa" w:w="3744"/>
            <w:vAlign w:val="top"/>
            <w:tcMar>
              <w:top w:w="70" w:type="dxa"/>
              <w:start w:w="90" w:type="dxa"/>
              <w:bottom w:w="70" w:type="dxa"/>
              <w:end w:w="90" w:type="dxa"/>
            </w:tcMar>
          </w:tcPr>
          <w:p>
            <w:pPr>
              <w:spacing w:after="20"/>
            </w:pPr>
            <w:r>
              <w:rPr>
                <w:rFonts w:ascii="Aptos" w:hAnsi="Aptos"/>
                <w:sz w:val="15"/>
              </w:rPr>
              <w:t>BullMQ/Redis or comparable job system; PostgreSQL remains source of truth for job state.</w:t>
            </w:r>
          </w:p>
        </w:tc>
      </w:tr>
      <w:tr>
        <w:trPr>
          <w:cantSplit/>
        </w:trPr>
        <w:tc>
          <w:tcPr>
            <w:tcW w:type="dxa" w:w="1656"/>
            <w:vAlign w:val="top"/>
            <w:tcMar>
              <w:top w:w="70" w:type="dxa"/>
              <w:start w:w="90" w:type="dxa"/>
              <w:bottom w:w="70" w:type="dxa"/>
              <w:end w:w="90" w:type="dxa"/>
            </w:tcMar>
            <w:shd w:fill="F5F8FA"/>
          </w:tcPr>
          <w:p>
            <w:pPr>
              <w:spacing w:after="20"/>
            </w:pPr>
            <w:r>
              <w:rPr>
                <w:rFonts w:ascii="Aptos" w:hAnsi="Aptos"/>
                <w:sz w:val="15"/>
              </w:rPr>
              <w:t>Monitoring</w:t>
            </w:r>
          </w:p>
        </w:tc>
        <w:tc>
          <w:tcPr>
            <w:tcW w:type="dxa" w:w="3888"/>
            <w:vAlign w:val="top"/>
            <w:tcMar>
              <w:top w:w="70" w:type="dxa"/>
              <w:start w:w="90" w:type="dxa"/>
              <w:bottom w:w="70" w:type="dxa"/>
              <w:end w:w="90" w:type="dxa"/>
            </w:tcMar>
            <w:shd w:fill="F5F8FA"/>
          </w:tcPr>
          <w:p>
            <w:pPr>
              <w:spacing w:after="20"/>
            </w:pPr>
            <w:r>
              <w:rPr>
                <w:rFonts w:ascii="Aptos" w:hAnsi="Aptos"/>
                <w:sz w:val="15"/>
              </w:rPr>
              <w:t>Request IDs, provider errors, quota use, freshness, alerts and security events.</w:t>
            </w:r>
          </w:p>
        </w:tc>
        <w:tc>
          <w:tcPr>
            <w:tcW w:type="dxa" w:w="3744"/>
            <w:vAlign w:val="top"/>
            <w:tcMar>
              <w:top w:w="70" w:type="dxa"/>
              <w:start w:w="90" w:type="dxa"/>
              <w:bottom w:w="70" w:type="dxa"/>
              <w:end w:w="90" w:type="dxa"/>
            </w:tcMar>
            <w:shd w:fill="F5F8FA"/>
          </w:tcPr>
          <w:p>
            <w:pPr>
              <w:spacing w:after="20"/>
            </w:pPr>
            <w:r>
              <w:rPr>
                <w:rFonts w:ascii="Aptos" w:hAnsi="Aptos"/>
                <w:sz w:val="15"/>
              </w:rPr>
              <w:t>Structured redacted logs, metrics, trace/correlation IDs and operational dashboard.</w:t>
            </w:r>
          </w:p>
        </w:tc>
      </w:tr>
    </w:tbl>
    <w:p>
      <w:pPr>
        <w:spacing w:after="20"/>
      </w:pPr>
    </w:p>
    <w:p>
      <w:pPr>
        <w:pStyle w:val="Heading1"/>
      </w:pPr>
      <w:r>
        <w:t>8.1 Essential database entities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65D"/>
            <w:vAlign w:val="center"/>
            <w:tcMar>
              <w:top w:w="70" w:type="dxa"/>
              <w:start w:w="90" w:type="dxa"/>
              <w:bottom w:w="70" w:type="dxa"/>
              <w:end w:w="90" w:type="dxa"/>
            </w:tcMar>
          </w:tcPr>
          <w:p>
            <w:pPr>
              <w:spacing w:after="0"/>
            </w:pPr>
            <w:r>
              <w:rPr>
                <w:b/>
                <w:color w:val="FFFFFF"/>
                <w:sz w:val="16"/>
              </w:rPr>
              <w:t>Entity</w:t>
            </w:r>
          </w:p>
        </w:tc>
        <w:tc>
          <w:tcPr>
            <w:tcW w:type="dxa" w:w="6912"/>
            <w:shd w:fill="17365D"/>
            <w:vAlign w:val="center"/>
            <w:tcMar>
              <w:top w:w="70" w:type="dxa"/>
              <w:start w:w="90" w:type="dxa"/>
              <w:bottom w:w="70" w:type="dxa"/>
              <w:end w:w="90" w:type="dxa"/>
            </w:tcMar>
          </w:tcPr>
          <w:p>
            <w:pPr>
              <w:spacing w:after="0"/>
            </w:pPr>
            <w:r>
              <w:rPr>
                <w:b/>
                <w:color w:val="FFFFFF"/>
                <w:sz w:val="16"/>
              </w:rPr>
              <w:t>Key data</w:t>
            </w:r>
          </w:p>
        </w:tc>
      </w:tr>
      <w:tr>
        <w:trPr>
          <w:cantSplit/>
        </w:trPr>
        <w:tc>
          <w:tcPr>
            <w:tcW w:type="dxa" w:w="2376"/>
            <w:vAlign w:val="top"/>
            <w:tcMar>
              <w:top w:w="70" w:type="dxa"/>
              <w:start w:w="90" w:type="dxa"/>
              <w:bottom w:w="70" w:type="dxa"/>
              <w:end w:w="90" w:type="dxa"/>
            </w:tcMar>
          </w:tcPr>
          <w:p>
            <w:pPr>
              <w:spacing w:after="20"/>
            </w:pPr>
            <w:r>
              <w:rPr>
                <w:rFonts w:ascii="Aptos" w:hAnsi="Aptos"/>
                <w:sz w:val="16"/>
              </w:rPr>
              <w:t>users / organizations / memberships</w:t>
            </w:r>
          </w:p>
        </w:tc>
        <w:tc>
          <w:tcPr>
            <w:tcW w:type="dxa" w:w="6912"/>
            <w:vAlign w:val="top"/>
            <w:tcMar>
              <w:top w:w="70" w:type="dxa"/>
              <w:start w:w="90" w:type="dxa"/>
              <w:bottom w:w="70" w:type="dxa"/>
              <w:end w:w="90" w:type="dxa"/>
            </w:tcMar>
          </w:tcPr>
          <w:p>
            <w:pPr>
              <w:spacing w:after="20"/>
            </w:pPr>
            <w:r>
              <w:rPr>
                <w:rFonts w:ascii="Aptos" w:hAnsi="Aptos"/>
                <w:sz w:val="16"/>
              </w:rPr>
              <w:t>Login identity, organization ownership, role, status, permissions.</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6"/>
              </w:rPr>
              <w:t>provider_connections</w:t>
            </w:r>
          </w:p>
        </w:tc>
        <w:tc>
          <w:tcPr>
            <w:tcW w:type="dxa" w:w="6912"/>
            <w:vAlign w:val="top"/>
            <w:tcMar>
              <w:top w:w="70" w:type="dxa"/>
              <w:start w:w="90" w:type="dxa"/>
              <w:bottom w:w="70" w:type="dxa"/>
              <w:end w:w="90" w:type="dxa"/>
            </w:tcMar>
            <w:shd w:fill="F5F8FA"/>
          </w:tcPr>
          <w:p>
            <w:pPr>
              <w:spacing w:after="20"/>
            </w:pPr>
            <w:r>
              <w:rPr>
                <w:rFonts w:ascii="Aptos" w:hAnsi="Aptos"/>
                <w:sz w:val="16"/>
              </w:rPr>
              <w:t>organization_id, provider, provider_user_id, connection status, granted scopes, expiry metadata, secure-token reference.</w:t>
            </w:r>
          </w:p>
        </w:tc>
      </w:tr>
      <w:tr>
        <w:trPr>
          <w:cantSplit/>
        </w:trPr>
        <w:tc>
          <w:tcPr>
            <w:tcW w:type="dxa" w:w="2376"/>
            <w:vAlign w:val="top"/>
            <w:tcMar>
              <w:top w:w="70" w:type="dxa"/>
              <w:start w:w="90" w:type="dxa"/>
              <w:bottom w:w="70" w:type="dxa"/>
              <w:end w:w="90" w:type="dxa"/>
            </w:tcMar>
          </w:tcPr>
          <w:p>
            <w:pPr>
              <w:spacing w:after="20"/>
            </w:pPr>
            <w:r>
              <w:rPr>
                <w:rFonts w:ascii="Aptos" w:hAnsi="Aptos"/>
                <w:sz w:val="16"/>
              </w:rPr>
              <w:t>ad_accounts</w:t>
            </w:r>
          </w:p>
        </w:tc>
        <w:tc>
          <w:tcPr>
            <w:tcW w:type="dxa" w:w="6912"/>
            <w:vAlign w:val="top"/>
            <w:tcMar>
              <w:top w:w="70" w:type="dxa"/>
              <w:start w:w="90" w:type="dxa"/>
              <w:bottom w:w="70" w:type="dxa"/>
              <w:end w:w="90" w:type="dxa"/>
            </w:tcMar>
          </w:tcPr>
          <w:p>
            <w:pPr>
              <w:spacing w:after="20"/>
            </w:pPr>
            <w:r>
              <w:rPr>
                <w:rFonts w:ascii="Aptos" w:hAnsi="Aptos"/>
                <w:sz w:val="16"/>
              </w:rPr>
              <w:t>provider_connection_id, native account ID, account name, currency, time zone, native status, manager/business context.</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6"/>
              </w:rPr>
              <w:t>provider_resources</w:t>
            </w:r>
          </w:p>
        </w:tc>
        <w:tc>
          <w:tcPr>
            <w:tcW w:type="dxa" w:w="6912"/>
            <w:vAlign w:val="top"/>
            <w:tcMar>
              <w:top w:w="70" w:type="dxa"/>
              <w:start w:w="90" w:type="dxa"/>
              <w:bottom w:w="70" w:type="dxa"/>
              <w:end w:w="90" w:type="dxa"/>
            </w:tcMar>
            <w:shd w:fill="F5F8FA"/>
          </w:tcPr>
          <w:p>
            <w:pPr>
              <w:spacing w:after="20"/>
            </w:pPr>
            <w:r>
              <w:rPr>
                <w:rFonts w:ascii="Aptos" w:hAnsi="Aptos"/>
                <w:sz w:val="16"/>
              </w:rPr>
              <w:t>provider, account ID, resource type, native resource ID, parent ID, normalized status and provider-native extension JSON.</w:t>
            </w:r>
          </w:p>
        </w:tc>
      </w:tr>
      <w:tr>
        <w:trPr>
          <w:cantSplit/>
        </w:trPr>
        <w:tc>
          <w:tcPr>
            <w:tcW w:type="dxa" w:w="2376"/>
            <w:vAlign w:val="top"/>
            <w:tcMar>
              <w:top w:w="70" w:type="dxa"/>
              <w:start w:w="90" w:type="dxa"/>
              <w:bottom w:w="70" w:type="dxa"/>
              <w:end w:w="90" w:type="dxa"/>
            </w:tcMar>
          </w:tcPr>
          <w:p>
            <w:pPr>
              <w:spacing w:after="20"/>
            </w:pPr>
            <w:r>
              <w:rPr>
                <w:rFonts w:ascii="Aptos" w:hAnsi="Aptos"/>
                <w:sz w:val="16"/>
              </w:rPr>
              <w:t>metric_snapshots</w:t>
            </w:r>
          </w:p>
        </w:tc>
        <w:tc>
          <w:tcPr>
            <w:tcW w:type="dxa" w:w="6912"/>
            <w:vAlign w:val="top"/>
            <w:tcMar>
              <w:top w:w="70" w:type="dxa"/>
              <w:start w:w="90" w:type="dxa"/>
              <w:bottom w:w="70" w:type="dxa"/>
              <w:end w:w="90" w:type="dxa"/>
            </w:tcMar>
          </w:tcPr>
          <w:p>
            <w:pPr>
              <w:spacing w:after="20"/>
            </w:pPr>
            <w:r>
              <w:rPr>
                <w:rFonts w:ascii="Aptos" w:hAnsi="Aptos"/>
                <w:sz w:val="16"/>
              </w:rPr>
              <w:t>account, date/time grain, provider, level, resource ID, metric values, currency, time zone, attribution context, sync timestamp.</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6"/>
              </w:rPr>
              <w:t>sync_jobs / action_jobs / action_results</w:t>
            </w:r>
          </w:p>
        </w:tc>
        <w:tc>
          <w:tcPr>
            <w:tcW w:type="dxa" w:w="6912"/>
            <w:vAlign w:val="top"/>
            <w:tcMar>
              <w:top w:w="70" w:type="dxa"/>
              <w:start w:w="90" w:type="dxa"/>
              <w:bottom w:w="70" w:type="dxa"/>
              <w:end w:w="90" w:type="dxa"/>
            </w:tcMar>
            <w:shd w:fill="F5F8FA"/>
          </w:tcPr>
          <w:p>
            <w:pPr>
              <w:spacing w:after="20"/>
            </w:pPr>
            <w:r>
              <w:rPr>
                <w:rFonts w:ascii="Aptos" w:hAnsi="Aptos"/>
                <w:sz w:val="16"/>
              </w:rPr>
              <w:t>idempotency key, operation, validated payload, state, attempt count, provider request ID, per-resource result/error.</w:t>
            </w:r>
          </w:p>
        </w:tc>
      </w:tr>
      <w:tr>
        <w:trPr>
          <w:cantSplit/>
        </w:trPr>
        <w:tc>
          <w:tcPr>
            <w:tcW w:type="dxa" w:w="2376"/>
            <w:vAlign w:val="top"/>
            <w:tcMar>
              <w:top w:w="70" w:type="dxa"/>
              <w:start w:w="90" w:type="dxa"/>
              <w:bottom w:w="70" w:type="dxa"/>
              <w:end w:w="90" w:type="dxa"/>
            </w:tcMar>
          </w:tcPr>
          <w:p>
            <w:pPr>
              <w:spacing w:after="20"/>
            </w:pPr>
            <w:r>
              <w:rPr>
                <w:rFonts w:ascii="Aptos" w:hAnsi="Aptos"/>
                <w:sz w:val="16"/>
              </w:rPr>
              <w:t>capability_snapshots</w:t>
            </w:r>
          </w:p>
        </w:tc>
        <w:tc>
          <w:tcPr>
            <w:tcW w:type="dxa" w:w="6912"/>
            <w:vAlign w:val="top"/>
            <w:tcMar>
              <w:top w:w="70" w:type="dxa"/>
              <w:start w:w="90" w:type="dxa"/>
              <w:bottom w:w="70" w:type="dxa"/>
              <w:end w:w="90" w:type="dxa"/>
            </w:tcMar>
          </w:tcPr>
          <w:p>
            <w:pPr>
              <w:spacing w:after="20"/>
            </w:pPr>
            <w:r>
              <w:rPr>
                <w:rFonts w:ascii="Aptos" w:hAnsi="Aptos"/>
                <w:sz w:val="16"/>
              </w:rPr>
              <w:t>provider version, account capabilities, required permissions, support/eligibility flags, last verified time.</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6"/>
              </w:rPr>
              <w:t>audit_events</w:t>
            </w:r>
          </w:p>
        </w:tc>
        <w:tc>
          <w:tcPr>
            <w:tcW w:type="dxa" w:w="6912"/>
            <w:vAlign w:val="top"/>
            <w:tcMar>
              <w:top w:w="70" w:type="dxa"/>
              <w:start w:w="90" w:type="dxa"/>
              <w:bottom w:w="70" w:type="dxa"/>
              <w:end w:w="90" w:type="dxa"/>
            </w:tcMar>
            <w:shd w:fill="F5F8FA"/>
          </w:tcPr>
          <w:p>
            <w:pPr>
              <w:spacing w:after="20"/>
            </w:pPr>
            <w:r>
              <w:rPr>
                <w:rFonts w:ascii="Aptos" w:hAnsi="Aptos"/>
                <w:sz w:val="16"/>
              </w:rPr>
              <w:t>organization/user, action, target, before/after summary, confirmation, timestamp, provider response correlation.</w:t>
            </w:r>
          </w:p>
        </w:tc>
      </w:tr>
      <w:tr>
        <w:trPr>
          <w:cantSplit/>
        </w:trPr>
        <w:tc>
          <w:tcPr>
            <w:tcW w:type="dxa" w:w="2376"/>
            <w:vAlign w:val="top"/>
            <w:tcMar>
              <w:top w:w="70" w:type="dxa"/>
              <w:start w:w="90" w:type="dxa"/>
              <w:bottom w:w="70" w:type="dxa"/>
              <w:end w:w="90" w:type="dxa"/>
            </w:tcMar>
          </w:tcPr>
          <w:p>
            <w:pPr>
              <w:spacing w:after="20"/>
            </w:pPr>
            <w:r>
              <w:rPr>
                <w:rFonts w:ascii="Aptos" w:hAnsi="Aptos"/>
                <w:sz w:val="16"/>
              </w:rPr>
              <w:t>subscriptions / usage_records</w:t>
            </w:r>
          </w:p>
        </w:tc>
        <w:tc>
          <w:tcPr>
            <w:tcW w:type="dxa" w:w="6912"/>
            <w:vAlign w:val="top"/>
            <w:tcMar>
              <w:top w:w="70" w:type="dxa"/>
              <w:start w:w="90" w:type="dxa"/>
              <w:bottom w:w="70" w:type="dxa"/>
              <w:end w:w="90" w:type="dxa"/>
            </w:tcMar>
          </w:tcPr>
          <w:p>
            <w:pPr>
              <w:spacing w:after="20"/>
            </w:pPr>
            <w:r>
              <w:rPr>
                <w:rFonts w:ascii="Aptos" w:hAnsi="Aptos"/>
                <w:sz w:val="16"/>
              </w:rPr>
              <w:t>Only if monetizing the SaaS: plan, billing state, rate limits and metered use.</w:t>
            </w:r>
          </w:p>
        </w:tc>
      </w:tr>
    </w:tbl>
    <w:p>
      <w:pPr>
        <w:spacing w:after="20"/>
      </w:pPr>
    </w:p>
    <w:p>
      <w:pPr>
        <w:pStyle w:val="Heading1"/>
      </w:pPr>
      <w:r>
        <w:t>8.2 Canonical data model rules</w:t>
      </w:r>
    </w:p>
    <w:p>
      <w:pPr>
        <w:pStyle w:val="ListBullet"/>
        <w:spacing w:after="40"/>
      </w:pPr>
      <w:r>
        <w:t>Keep both canonical fields and provider-native identifiers/payload fragments. Do not discard features unique to a network.</w:t>
      </w:r>
    </w:p>
    <w:p>
      <w:pPr>
        <w:pStyle w:val="ListBullet"/>
        <w:spacing w:after="40"/>
      </w:pPr>
      <w:r>
        <w:t>Store currency and account time zone per ad account. Do not sum unlike currencies without a declared FX conversion source and timestamp.</w:t>
      </w:r>
    </w:p>
    <w:p>
      <w:pPr>
        <w:pStyle w:val="ListBullet"/>
        <w:spacing w:after="40"/>
      </w:pPr>
      <w:r>
        <w:t>Persist provider attribution settings and data freshness. Keep native conversion metrics separate from first-party sales/CRM truth.</w:t>
      </w:r>
    </w:p>
    <w:p>
      <w:pPr>
        <w:pStyle w:val="ListBullet"/>
        <w:spacing w:after="40"/>
      </w:pPr>
      <w:r>
        <w:t>Do not use account IDs or resource IDs as authorization. Every query/action must first prove the logged-in user’s tenant membership and grant to the connection.</w:t>
      </w:r>
    </w:p>
    <w:p>
      <w:pPr>
        <w:pStyle w:val="ListBullet"/>
        <w:spacing w:after="40"/>
      </w:pPr>
      <w:r>
        <w:t>Treat provider API schema/version and capability checks as runtime data; the UI should hide/disable unsupported operations and explain why.</w:t>
      </w:r>
    </w:p>
    <w:p>
      <w:r>
        <w:br w:type="page"/>
      </w:r>
    </w:p>
    <w:p>
      <w:pPr>
        <w:pStyle w:val="Heading1"/>
      </w:pPr>
      <w:r>
        <w:t>9. Recommended implementation phases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7365D"/>
            <w:vAlign w:val="center"/>
            <w:tcMar>
              <w:top w:w="70" w:type="dxa"/>
              <w:start w:w="90" w:type="dxa"/>
              <w:bottom w:w="70" w:type="dxa"/>
              <w:end w:w="90" w:type="dxa"/>
            </w:tcMar>
          </w:tcPr>
          <w:p>
            <w:pPr>
              <w:spacing w:after="0"/>
            </w:pPr>
            <w:r>
              <w:rPr>
                <w:b/>
                <w:color w:val="FFFFFF"/>
                <w:sz w:val="15"/>
              </w:rPr>
              <w:t>Phase</w:t>
            </w:r>
          </w:p>
        </w:tc>
        <w:tc>
          <w:tcPr>
            <w:tcW w:type="dxa" w:w="3960"/>
            <w:shd w:fill="17365D"/>
            <w:vAlign w:val="center"/>
            <w:tcMar>
              <w:top w:w="70" w:type="dxa"/>
              <w:start w:w="90" w:type="dxa"/>
              <w:bottom w:w="70" w:type="dxa"/>
              <w:end w:w="90" w:type="dxa"/>
            </w:tcMar>
          </w:tcPr>
          <w:p>
            <w:pPr>
              <w:spacing w:after="0"/>
            </w:pPr>
            <w:r>
              <w:rPr>
                <w:b/>
                <w:color w:val="FFFFFF"/>
                <w:sz w:val="15"/>
              </w:rPr>
              <w:t>Scope</w:t>
            </w:r>
          </w:p>
        </w:tc>
        <w:tc>
          <w:tcPr>
            <w:tcW w:type="dxa" w:w="3384"/>
            <w:shd w:fill="17365D"/>
            <w:vAlign w:val="center"/>
            <w:tcMar>
              <w:top w:w="70" w:type="dxa"/>
              <w:start w:w="90" w:type="dxa"/>
              <w:bottom w:w="70" w:type="dxa"/>
              <w:end w:w="90" w:type="dxa"/>
            </w:tcMar>
          </w:tcPr>
          <w:p>
            <w:pPr>
              <w:spacing w:after="0"/>
            </w:pPr>
            <w:r>
              <w:rPr>
                <w:b/>
                <w:color w:val="FFFFFF"/>
                <w:sz w:val="15"/>
              </w:rPr>
              <w:t>Exit criteria</w:t>
            </w:r>
          </w:p>
        </w:tc>
      </w:tr>
      <w:tr>
        <w:trPr>
          <w:cantSplit/>
        </w:trPr>
        <w:tc>
          <w:tcPr>
            <w:tcW w:type="dxa" w:w="1944"/>
            <w:vAlign w:val="top"/>
            <w:tcMar>
              <w:top w:w="70" w:type="dxa"/>
              <w:start w:w="90" w:type="dxa"/>
              <w:bottom w:w="70" w:type="dxa"/>
              <w:end w:w="90" w:type="dxa"/>
            </w:tcMar>
          </w:tcPr>
          <w:p>
            <w:pPr>
              <w:spacing w:after="20"/>
            </w:pPr>
            <w:r>
              <w:rPr>
                <w:rFonts w:ascii="Aptos" w:hAnsi="Aptos"/>
                <w:sz w:val="15"/>
              </w:rPr>
              <w:t>0 — Protect and validate existing code</w:t>
            </w:r>
          </w:p>
        </w:tc>
        <w:tc>
          <w:tcPr>
            <w:tcW w:type="dxa" w:w="3960"/>
            <w:vAlign w:val="top"/>
            <w:tcMar>
              <w:top w:w="70" w:type="dxa"/>
              <w:start w:w="90" w:type="dxa"/>
              <w:bottom w:w="70" w:type="dxa"/>
              <w:end w:w="90" w:type="dxa"/>
            </w:tcMar>
          </w:tcPr>
          <w:p>
            <w:pPr>
              <w:spacing w:after="20"/>
            </w:pPr>
            <w:r>
              <w:rPr>
                <w:rFonts w:ascii="Aptos" w:hAnsi="Aptos"/>
                <w:sz w:val="15"/>
              </w:rPr>
              <w:t>Revoke exposed credentials if genuine; remove token logging; fix Meta token path; reconcile route mounts; clean .gitignore; centralize provider error handling and access/version config.</w:t>
            </w:r>
          </w:p>
        </w:tc>
        <w:tc>
          <w:tcPr>
            <w:tcW w:type="dxa" w:w="3384"/>
            <w:vAlign w:val="top"/>
            <w:tcMar>
              <w:top w:w="70" w:type="dxa"/>
              <w:start w:w="90" w:type="dxa"/>
              <w:bottom w:w="70" w:type="dxa"/>
              <w:end w:w="90" w:type="dxa"/>
            </w:tcMar>
          </w:tcPr>
          <w:p>
            <w:pPr>
              <w:spacing w:after="20"/>
            </w:pPr>
            <w:r>
              <w:rPr>
                <w:rFonts w:ascii="Aptos" w:hAnsi="Aptos"/>
                <w:sz w:val="15"/>
              </w:rPr>
              <w:t>No secrets in archive/logs; OAuth works repeatedly; route smoke tests cover the real mounted URLs; no writes without explicit safety policy.</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5"/>
              </w:rPr>
              <w:t>1 — SaaS foundation</w:t>
            </w:r>
          </w:p>
        </w:tc>
        <w:tc>
          <w:tcPr>
            <w:tcW w:type="dxa" w:w="3960"/>
            <w:vAlign w:val="top"/>
            <w:tcMar>
              <w:top w:w="70" w:type="dxa"/>
              <w:start w:w="90" w:type="dxa"/>
              <w:bottom w:w="70" w:type="dxa"/>
              <w:end w:w="90" w:type="dxa"/>
            </w:tcMar>
            <w:shd w:fill="F5F8FA"/>
          </w:tcPr>
          <w:p>
            <w:pPr>
              <w:spacing w:after="20"/>
            </w:pPr>
            <w:r>
              <w:rPr>
                <w:rFonts w:ascii="Aptos" w:hAnsi="Aptos"/>
                <w:sz w:val="15"/>
              </w:rPr>
              <w:t>Application authentication, organizations/memberships, PostgreSQL, encrypted token store, per-tenant provider connections, connection status/revoke/reconnect.</w:t>
            </w:r>
          </w:p>
        </w:tc>
        <w:tc>
          <w:tcPr>
            <w:tcW w:type="dxa" w:w="3384"/>
            <w:vAlign w:val="top"/>
            <w:tcMar>
              <w:top w:w="70" w:type="dxa"/>
              <w:start w:w="90" w:type="dxa"/>
              <w:bottom w:w="70" w:type="dxa"/>
              <w:end w:w="90" w:type="dxa"/>
            </w:tcMar>
            <w:shd w:fill="F5F8FA"/>
          </w:tcPr>
          <w:p>
            <w:pPr>
              <w:spacing w:after="20"/>
            </w:pPr>
            <w:r>
              <w:rPr>
                <w:rFonts w:ascii="Aptos" w:hAnsi="Aptos"/>
                <w:sz w:val="15"/>
              </w:rPr>
              <w:t>Two separate users can connect independently; one cannot access the other’s token/account.</w:t>
            </w:r>
          </w:p>
        </w:tc>
      </w:tr>
      <w:tr>
        <w:trPr>
          <w:cantSplit/>
        </w:trPr>
        <w:tc>
          <w:tcPr>
            <w:tcW w:type="dxa" w:w="1944"/>
            <w:vAlign w:val="top"/>
            <w:tcMar>
              <w:top w:w="70" w:type="dxa"/>
              <w:start w:w="90" w:type="dxa"/>
              <w:bottom w:w="70" w:type="dxa"/>
              <w:end w:w="90" w:type="dxa"/>
            </w:tcMar>
          </w:tcPr>
          <w:p>
            <w:pPr>
              <w:spacing w:after="20"/>
            </w:pPr>
            <w:r>
              <w:rPr>
                <w:rFonts w:ascii="Aptos" w:hAnsi="Aptos"/>
                <w:sz w:val="15"/>
              </w:rPr>
              <w:t>2 — Read-only unified reporting</w:t>
            </w:r>
          </w:p>
        </w:tc>
        <w:tc>
          <w:tcPr>
            <w:tcW w:type="dxa" w:w="3960"/>
            <w:vAlign w:val="top"/>
            <w:tcMar>
              <w:top w:w="70" w:type="dxa"/>
              <w:start w:w="90" w:type="dxa"/>
              <w:bottom w:w="70" w:type="dxa"/>
              <w:end w:w="90" w:type="dxa"/>
            </w:tcMar>
          </w:tcPr>
          <w:p>
            <w:pPr>
              <w:spacing w:after="20"/>
            </w:pPr>
            <w:r>
              <w:rPr>
                <w:rFonts w:ascii="Aptos" w:hAnsi="Aptos"/>
                <w:sz w:val="15"/>
              </w:rPr>
              <w:t>Account discovery, campaign listings, normalized metrics, date ranges, account/campaign/ad-group/ad-set/ad levels, currency/time-zone and freshness.</w:t>
            </w:r>
          </w:p>
        </w:tc>
        <w:tc>
          <w:tcPr>
            <w:tcW w:type="dxa" w:w="3384"/>
            <w:vAlign w:val="top"/>
            <w:tcMar>
              <w:top w:w="70" w:type="dxa"/>
              <w:start w:w="90" w:type="dxa"/>
              <w:bottom w:w="70" w:type="dxa"/>
              <w:end w:w="90" w:type="dxa"/>
            </w:tcMar>
          </w:tcPr>
          <w:p>
            <w:pPr>
              <w:spacing w:after="20"/>
            </w:pPr>
            <w:r>
              <w:rPr>
                <w:rFonts w:ascii="Aptos" w:hAnsi="Aptos"/>
                <w:sz w:val="15"/>
              </w:rPr>
              <w:t>Values reconcile against Google Ads and Meta UI for selected accounts and date ranges; empty data and errors are correctly distinguished.</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5"/>
              </w:rPr>
              <w:t>3 — Safe common actions</w:t>
            </w:r>
          </w:p>
        </w:tc>
        <w:tc>
          <w:tcPr>
            <w:tcW w:type="dxa" w:w="3960"/>
            <w:vAlign w:val="top"/>
            <w:tcMar>
              <w:top w:w="70" w:type="dxa"/>
              <w:start w:w="90" w:type="dxa"/>
              <w:bottom w:w="70" w:type="dxa"/>
              <w:end w:w="90" w:type="dxa"/>
            </w:tcMar>
            <w:shd w:fill="F5F8FA"/>
          </w:tcPr>
          <w:p>
            <w:pPr>
              <w:spacing w:after="20"/>
            </w:pPr>
            <w:r>
              <w:rPr>
                <w:rFonts w:ascii="Aptos" w:hAnsi="Aptos"/>
                <w:sz w:val="15"/>
              </w:rPr>
              <w:t>Pause/resume and supported simple edits, preview, permission checks, idempotency, queued execution, per-action result and read-back.</w:t>
            </w:r>
          </w:p>
        </w:tc>
        <w:tc>
          <w:tcPr>
            <w:tcW w:type="dxa" w:w="3384"/>
            <w:vAlign w:val="top"/>
            <w:tcMar>
              <w:top w:w="70" w:type="dxa"/>
              <w:start w:w="90" w:type="dxa"/>
              <w:bottom w:w="70" w:type="dxa"/>
              <w:end w:w="90" w:type="dxa"/>
            </w:tcMar>
            <w:shd w:fill="F5F8FA"/>
          </w:tcPr>
          <w:p>
            <w:pPr>
              <w:spacing w:after="20"/>
            </w:pPr>
            <w:r>
              <w:rPr>
                <w:rFonts w:ascii="Aptos" w:hAnsi="Aptos"/>
                <w:sz w:val="15"/>
              </w:rPr>
              <w:t>Cross-provider batch can report partial success truthfully; duplicates and retries are safe.</w:t>
            </w:r>
          </w:p>
        </w:tc>
      </w:tr>
      <w:tr>
        <w:trPr>
          <w:cantSplit/>
        </w:trPr>
        <w:tc>
          <w:tcPr>
            <w:tcW w:type="dxa" w:w="1944"/>
            <w:vAlign w:val="top"/>
            <w:tcMar>
              <w:top w:w="70" w:type="dxa"/>
              <w:start w:w="90" w:type="dxa"/>
              <w:bottom w:w="70" w:type="dxa"/>
              <w:end w:w="90" w:type="dxa"/>
            </w:tcMar>
          </w:tcPr>
          <w:p>
            <w:pPr>
              <w:spacing w:after="20"/>
            </w:pPr>
            <w:r>
              <w:rPr>
                <w:rFonts w:ascii="Aptos" w:hAnsi="Aptos"/>
                <w:sz w:val="15"/>
              </w:rPr>
              <w:t>4 — Campaign builder MVP</w:t>
            </w:r>
          </w:p>
        </w:tc>
        <w:tc>
          <w:tcPr>
            <w:tcW w:type="dxa" w:w="3960"/>
            <w:vAlign w:val="top"/>
            <w:tcMar>
              <w:top w:w="70" w:type="dxa"/>
              <w:start w:w="90" w:type="dxa"/>
              <w:bottom w:w="70" w:type="dxa"/>
              <w:end w:w="90" w:type="dxa"/>
            </w:tcMar>
          </w:tcPr>
          <w:p>
            <w:pPr>
              <w:spacing w:after="20"/>
            </w:pPr>
            <w:r>
              <w:rPr>
                <w:rFonts w:ascii="Aptos" w:hAnsi="Aptos"/>
                <w:sz w:val="15"/>
              </w:rPr>
              <w:t>Google Search workflow and a selected Meta campaign/ad-set/creative workflow; all new resources start paused/draft where supported.</w:t>
            </w:r>
          </w:p>
        </w:tc>
        <w:tc>
          <w:tcPr>
            <w:tcW w:type="dxa" w:w="3384"/>
            <w:vAlign w:val="top"/>
            <w:tcMar>
              <w:top w:w="70" w:type="dxa"/>
              <w:start w:w="90" w:type="dxa"/>
              <w:bottom w:w="70" w:type="dxa"/>
              <w:end w:w="90" w:type="dxa"/>
            </w:tcMar>
          </w:tcPr>
          <w:p>
            <w:pPr>
              <w:spacing w:after="20"/>
            </w:pPr>
            <w:r>
              <w:rPr>
                <w:rFonts w:ascii="Aptos" w:hAnsi="Aptos"/>
                <w:sz w:val="15"/>
              </w:rPr>
              <w:t>Full test sequence creates and verifies each parent/child dependency; user confirms before activation.</w:t>
            </w:r>
          </w:p>
        </w:tc>
      </w:tr>
      <w:tr>
        <w:trPr>
          <w:cantSplit/>
        </w:trPr>
        <w:tc>
          <w:tcPr>
            <w:tcW w:type="dxa" w:w="1944"/>
            <w:vAlign w:val="top"/>
            <w:tcMar>
              <w:top w:w="70" w:type="dxa"/>
              <w:start w:w="90" w:type="dxa"/>
              <w:bottom w:w="70" w:type="dxa"/>
              <w:end w:w="90" w:type="dxa"/>
            </w:tcMar>
            <w:shd w:fill="F5F8FA"/>
          </w:tcPr>
          <w:p>
            <w:pPr>
              <w:spacing w:after="20"/>
            </w:pPr>
            <w:r>
              <w:rPr>
                <w:rFonts w:ascii="Aptos" w:hAnsi="Aptos"/>
                <w:sz w:val="15"/>
              </w:rPr>
              <w:t>5 — Provider-specific modules</w:t>
            </w:r>
          </w:p>
        </w:tc>
        <w:tc>
          <w:tcPr>
            <w:tcW w:type="dxa" w:w="3960"/>
            <w:vAlign w:val="top"/>
            <w:tcMar>
              <w:top w:w="70" w:type="dxa"/>
              <w:start w:w="90" w:type="dxa"/>
              <w:bottom w:w="70" w:type="dxa"/>
              <w:end w:w="90" w:type="dxa"/>
            </w:tcMar>
            <w:shd w:fill="F5F8FA"/>
          </w:tcPr>
          <w:p>
            <w:pPr>
              <w:spacing w:after="20"/>
            </w:pPr>
            <w:r>
              <w:rPr>
                <w:rFonts w:ascii="Aptos" w:hAnsi="Aptos"/>
                <w:sz w:val="15"/>
              </w:rPr>
              <w:t>Google targeting, audiences and Data Manager conversion workflows; Meta audiences, Page/IG identity, Pixel/Dataset/CAPI and advanced creatives; each tested as a separate module.</w:t>
            </w:r>
          </w:p>
        </w:tc>
        <w:tc>
          <w:tcPr>
            <w:tcW w:type="dxa" w:w="3384"/>
            <w:vAlign w:val="top"/>
            <w:tcMar>
              <w:top w:w="70" w:type="dxa"/>
              <w:start w:w="90" w:type="dxa"/>
              <w:bottom w:w="70" w:type="dxa"/>
              <w:end w:w="90" w:type="dxa"/>
            </w:tcMar>
            <w:shd w:fill="F5F8FA"/>
          </w:tcPr>
          <w:p>
            <w:pPr>
              <w:spacing w:after="20"/>
            </w:pPr>
            <w:r>
              <w:rPr>
                <w:rFonts w:ascii="Aptos" w:hAnsi="Aptos"/>
                <w:sz w:val="15"/>
              </w:rPr>
              <w:t>Capabilities and permission requirements documented; consent/policy checks; provider-specific acceptance tests pass.</w:t>
            </w:r>
          </w:p>
        </w:tc>
      </w:tr>
      <w:tr>
        <w:trPr>
          <w:cantSplit/>
        </w:trPr>
        <w:tc>
          <w:tcPr>
            <w:tcW w:type="dxa" w:w="1944"/>
            <w:vAlign w:val="top"/>
            <w:tcMar>
              <w:top w:w="70" w:type="dxa"/>
              <w:start w:w="90" w:type="dxa"/>
              <w:bottom w:w="70" w:type="dxa"/>
              <w:end w:w="90" w:type="dxa"/>
            </w:tcMar>
          </w:tcPr>
          <w:p>
            <w:pPr>
              <w:spacing w:after="20"/>
            </w:pPr>
            <w:r>
              <w:rPr>
                <w:rFonts w:ascii="Aptos" w:hAnsi="Aptos"/>
                <w:sz w:val="15"/>
              </w:rPr>
              <w:t>6 — Production growth</w:t>
            </w:r>
          </w:p>
        </w:tc>
        <w:tc>
          <w:tcPr>
            <w:tcW w:type="dxa" w:w="3960"/>
            <w:vAlign w:val="top"/>
            <w:tcMar>
              <w:top w:w="70" w:type="dxa"/>
              <w:start w:w="90" w:type="dxa"/>
              <w:bottom w:w="70" w:type="dxa"/>
              <w:end w:w="90" w:type="dxa"/>
            </w:tcMar>
          </w:tcPr>
          <w:p>
            <w:pPr>
              <w:spacing w:after="20"/>
            </w:pPr>
            <w:r>
              <w:rPr>
                <w:rFonts w:ascii="Aptos" w:hAnsi="Aptos"/>
                <w:sz w:val="15"/>
              </w:rPr>
              <w:t>Billing eligibility, report exports/scheduling, alerts/automation, lead/catalog workflows, more networks, public API and AI-assisted action planning.</w:t>
            </w:r>
          </w:p>
        </w:tc>
        <w:tc>
          <w:tcPr>
            <w:tcW w:type="dxa" w:w="3384"/>
            <w:vAlign w:val="top"/>
            <w:tcMar>
              <w:top w:w="70" w:type="dxa"/>
              <w:start w:w="90" w:type="dxa"/>
              <w:bottom w:w="70" w:type="dxa"/>
              <w:end w:w="90" w:type="dxa"/>
            </w:tcMar>
          </w:tcPr>
          <w:p>
            <w:pPr>
              <w:spacing w:after="20"/>
            </w:pPr>
            <w:r>
              <w:rPr>
                <w:rFonts w:ascii="Aptos" w:hAnsi="Aptos"/>
                <w:sz w:val="15"/>
              </w:rPr>
              <w:t>Monitoring, quota/cost controls, incident response, provider approval and product support model are in place.</w:t>
            </w:r>
          </w:p>
        </w:tc>
      </w:tr>
    </w:tbl>
    <w:p>
      <w:pPr>
        <w:spacing w:after="20"/>
      </w:pPr>
    </w:p>
    <w:p>
      <w:pPr>
        <w:pStyle w:val="Heading1"/>
      </w:pPr>
      <w:r>
        <w:t>9.1 Recommended first release</w:t>
      </w:r>
    </w:p>
    <w:p>
      <w:r>
        <w:t>A sensible MVP is: connect Google Ads and Meta Ads independently, select accessible accounts, show campaigns from both in one table, compare a small agreed set of core metrics, and pause/resume a selected campaign with preview and confirmation. Do not start with payment-method management, customer-list audience uploads, every campaign type or autonomous optimization.</w:t>
      </w:r>
    </w:p>
    <w:p>
      <w:r>
        <w:br w:type="page"/>
      </w:r>
    </w:p>
    <w:p>
      <w:pPr>
        <w:pStyle w:val="Heading1"/>
      </w:pPr>
      <w:r>
        <w:t>10. Verification plan before declaring any feature complete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65D"/>
            <w:vAlign w:val="center"/>
            <w:tcMar>
              <w:top w:w="70" w:type="dxa"/>
              <w:start w:w="90" w:type="dxa"/>
              <w:bottom w:w="70" w:type="dxa"/>
              <w:end w:w="90" w:type="dxa"/>
            </w:tcMar>
          </w:tcPr>
          <w:p>
            <w:pPr>
              <w:spacing w:after="0"/>
            </w:pPr>
            <w:r>
              <w:rPr>
                <w:b/>
                <w:color w:val="FFFFFF"/>
                <w:sz w:val="15"/>
              </w:rPr>
              <w:t>Test area</w:t>
            </w:r>
          </w:p>
        </w:tc>
        <w:tc>
          <w:tcPr>
            <w:tcW w:type="dxa" w:w="6912"/>
            <w:shd w:fill="17365D"/>
            <w:vAlign w:val="center"/>
            <w:tcMar>
              <w:top w:w="70" w:type="dxa"/>
              <w:start w:w="90" w:type="dxa"/>
              <w:bottom w:w="70" w:type="dxa"/>
              <w:end w:w="90" w:type="dxa"/>
            </w:tcMar>
          </w:tcPr>
          <w:p>
            <w:pPr>
              <w:spacing w:after="0"/>
            </w:pPr>
            <w:r>
              <w:rPr>
                <w:b/>
                <w:color w:val="FFFFFF"/>
                <w:sz w:val="15"/>
              </w:rPr>
              <w:t>Required proof</w:t>
            </w:r>
          </w:p>
        </w:tc>
      </w:tr>
      <w:tr>
        <w:trPr>
          <w:cantSplit/>
        </w:trPr>
        <w:tc>
          <w:tcPr>
            <w:tcW w:type="dxa" w:w="2376"/>
            <w:vAlign w:val="top"/>
            <w:tcMar>
              <w:top w:w="70" w:type="dxa"/>
              <w:start w:w="90" w:type="dxa"/>
              <w:bottom w:w="70" w:type="dxa"/>
              <w:end w:w="90" w:type="dxa"/>
            </w:tcMar>
          </w:tcPr>
          <w:p>
            <w:pPr>
              <w:spacing w:after="20"/>
            </w:pPr>
            <w:r>
              <w:rPr>
                <w:rFonts w:ascii="Aptos" w:hAnsi="Aptos"/>
                <w:sz w:val="15"/>
              </w:rPr>
              <w:t>OAuth lifecycle</w:t>
            </w:r>
          </w:p>
        </w:tc>
        <w:tc>
          <w:tcPr>
            <w:tcW w:type="dxa" w:w="6912"/>
            <w:vAlign w:val="top"/>
            <w:tcMar>
              <w:top w:w="70" w:type="dxa"/>
              <w:start w:w="90" w:type="dxa"/>
              <w:bottom w:w="70" w:type="dxa"/>
              <w:end w:w="90" w:type="dxa"/>
            </w:tcMar>
          </w:tcPr>
          <w:p>
            <w:pPr>
              <w:spacing w:after="20"/>
            </w:pPr>
            <w:r>
              <w:rPr>
                <w:rFonts w:ascii="Aptos" w:hAnsi="Aptos"/>
                <w:sz w:val="15"/>
              </w:rPr>
              <w:t>Connect, persist, refresh/renew when supported, revoke, reconnect, handle user denial and expired access without logging credentials.</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5"/>
              </w:rPr>
              <w:t>Tenant isolation</w:t>
            </w:r>
          </w:p>
        </w:tc>
        <w:tc>
          <w:tcPr>
            <w:tcW w:type="dxa" w:w="6912"/>
            <w:vAlign w:val="top"/>
            <w:tcMar>
              <w:top w:w="70" w:type="dxa"/>
              <w:start w:w="90" w:type="dxa"/>
              <w:bottom w:w="70" w:type="dxa"/>
              <w:end w:w="90" w:type="dxa"/>
            </w:tcMar>
            <w:shd w:fill="F5F8FA"/>
          </w:tcPr>
          <w:p>
            <w:pPr>
              <w:spacing w:after="20"/>
            </w:pPr>
            <w:r>
              <w:rPr>
                <w:rFonts w:ascii="Aptos" w:hAnsi="Aptos"/>
                <w:sz w:val="15"/>
              </w:rPr>
              <w:t>Cross-tenant IDs return forbidden/not found; no token or account is selected only from untrusted request fields.</w:t>
            </w:r>
          </w:p>
        </w:tc>
      </w:tr>
      <w:tr>
        <w:trPr>
          <w:cantSplit/>
        </w:trPr>
        <w:tc>
          <w:tcPr>
            <w:tcW w:type="dxa" w:w="2376"/>
            <w:vAlign w:val="top"/>
            <w:tcMar>
              <w:top w:w="70" w:type="dxa"/>
              <w:start w:w="90" w:type="dxa"/>
              <w:bottom w:w="70" w:type="dxa"/>
              <w:end w:w="90" w:type="dxa"/>
            </w:tcMar>
          </w:tcPr>
          <w:p>
            <w:pPr>
              <w:spacing w:after="20"/>
            </w:pPr>
            <w:r>
              <w:rPr>
                <w:rFonts w:ascii="Aptos" w:hAnsi="Aptos"/>
                <w:sz w:val="15"/>
              </w:rPr>
              <w:t>Account discovery</w:t>
            </w:r>
          </w:p>
        </w:tc>
        <w:tc>
          <w:tcPr>
            <w:tcW w:type="dxa" w:w="6912"/>
            <w:vAlign w:val="top"/>
            <w:tcMar>
              <w:top w:w="70" w:type="dxa"/>
              <w:start w:w="90" w:type="dxa"/>
              <w:bottom w:w="70" w:type="dxa"/>
              <w:end w:w="90" w:type="dxa"/>
            </w:tcMar>
          </w:tcPr>
          <w:p>
            <w:pPr>
              <w:spacing w:after="20"/>
            </w:pPr>
            <w:r>
              <w:rPr>
                <w:rFonts w:ascii="Aptos" w:hAnsi="Aptos"/>
                <w:sz w:val="15"/>
              </w:rPr>
              <w:t>Accessible account list is correct; accounts with limited permission are surfaced with capability/read-only explanations.</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5"/>
              </w:rPr>
              <w:t>Reporting accuracy</w:t>
            </w:r>
          </w:p>
        </w:tc>
        <w:tc>
          <w:tcPr>
            <w:tcW w:type="dxa" w:w="6912"/>
            <w:vAlign w:val="top"/>
            <w:tcMar>
              <w:top w:w="70" w:type="dxa"/>
              <w:start w:w="90" w:type="dxa"/>
              <w:bottom w:w="70" w:type="dxa"/>
              <w:end w:w="90" w:type="dxa"/>
            </w:tcMar>
            <w:shd w:fill="F5F8FA"/>
          </w:tcPr>
          <w:p>
            <w:pPr>
              <w:spacing w:after="20"/>
            </w:pPr>
            <w:r>
              <w:rPr>
                <w:rFonts w:ascii="Aptos" w:hAnsi="Aptos"/>
                <w:sz w:val="15"/>
              </w:rPr>
              <w:t>For chosen date ranges, compare impressions, clicks, spend, currency, conversions and ROAS-related metrics to native UI; record expected attribution differences.</w:t>
            </w:r>
          </w:p>
        </w:tc>
      </w:tr>
      <w:tr>
        <w:trPr>
          <w:cantSplit/>
        </w:trPr>
        <w:tc>
          <w:tcPr>
            <w:tcW w:type="dxa" w:w="2376"/>
            <w:vAlign w:val="top"/>
            <w:tcMar>
              <w:top w:w="70" w:type="dxa"/>
              <w:start w:w="90" w:type="dxa"/>
              <w:bottom w:w="70" w:type="dxa"/>
              <w:end w:w="90" w:type="dxa"/>
            </w:tcMar>
          </w:tcPr>
          <w:p>
            <w:pPr>
              <w:spacing w:after="20"/>
            </w:pPr>
            <w:r>
              <w:rPr>
                <w:rFonts w:ascii="Aptos" w:hAnsi="Aptos"/>
                <w:sz w:val="15"/>
              </w:rPr>
              <w:t>Date and money correctness</w:t>
            </w:r>
          </w:p>
        </w:tc>
        <w:tc>
          <w:tcPr>
            <w:tcW w:type="dxa" w:w="6912"/>
            <w:vAlign w:val="top"/>
            <w:tcMar>
              <w:top w:w="70" w:type="dxa"/>
              <w:start w:w="90" w:type="dxa"/>
              <w:bottom w:w="70" w:type="dxa"/>
              <w:end w:w="90" w:type="dxa"/>
            </w:tcMar>
          </w:tcPr>
          <w:p>
            <w:pPr>
              <w:spacing w:after="20"/>
            </w:pPr>
            <w:r>
              <w:rPr>
                <w:rFonts w:ascii="Aptos" w:hAnsi="Aptos"/>
                <w:sz w:val="15"/>
              </w:rPr>
              <w:t>Validate calendar dates, start/end order, time zone, currency, provider-specific units, zero denominators and missing rows.</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5"/>
              </w:rPr>
              <w:t>Mutation safety</w:t>
            </w:r>
          </w:p>
        </w:tc>
        <w:tc>
          <w:tcPr>
            <w:tcW w:type="dxa" w:w="6912"/>
            <w:vAlign w:val="top"/>
            <w:tcMar>
              <w:top w:w="70" w:type="dxa"/>
              <w:start w:w="90" w:type="dxa"/>
              <w:bottom w:w="70" w:type="dxa"/>
              <w:end w:w="90" w:type="dxa"/>
            </w:tcMar>
            <w:shd w:fill="F5F8FA"/>
          </w:tcPr>
          <w:p>
            <w:pPr>
              <w:spacing w:after="20"/>
            </w:pPr>
            <w:r>
              <w:rPr>
                <w:rFonts w:ascii="Aptos" w:hAnsi="Aptos"/>
                <w:sz w:val="15"/>
              </w:rPr>
              <w:t>Preview default; explicit confirmation; allowlisted operation/fields; idempotency; provider state read-back; partial failures and deletion protections.</w:t>
            </w:r>
          </w:p>
        </w:tc>
      </w:tr>
      <w:tr>
        <w:trPr>
          <w:cantSplit/>
        </w:trPr>
        <w:tc>
          <w:tcPr>
            <w:tcW w:type="dxa" w:w="2376"/>
            <w:vAlign w:val="top"/>
            <w:tcMar>
              <w:top w:w="70" w:type="dxa"/>
              <w:start w:w="90" w:type="dxa"/>
              <w:bottom w:w="70" w:type="dxa"/>
              <w:end w:w="90" w:type="dxa"/>
            </w:tcMar>
          </w:tcPr>
          <w:p>
            <w:pPr>
              <w:spacing w:after="20"/>
            </w:pPr>
            <w:r>
              <w:rPr>
                <w:rFonts w:ascii="Aptos" w:hAnsi="Aptos"/>
                <w:sz w:val="15"/>
              </w:rPr>
              <w:t>Pagination and scale</w:t>
            </w:r>
          </w:p>
        </w:tc>
        <w:tc>
          <w:tcPr>
            <w:tcW w:type="dxa" w:w="6912"/>
            <w:vAlign w:val="top"/>
            <w:tcMar>
              <w:top w:w="70" w:type="dxa"/>
              <w:start w:w="90" w:type="dxa"/>
              <w:bottom w:w="70" w:type="dxa"/>
              <w:end w:w="90" w:type="dxa"/>
            </w:tcMar>
          </w:tcPr>
          <w:p>
            <w:pPr>
              <w:spacing w:after="20"/>
            </w:pPr>
            <w:r>
              <w:rPr>
                <w:rFonts w:ascii="Aptos" w:hAnsi="Aptos"/>
                <w:sz w:val="15"/>
              </w:rPr>
              <w:t>Test multiple pages, timeouts, rate-limit responses, retry/backoff, large reports and provider outage fallback.</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5"/>
              </w:rPr>
              <w:t>Asset workflows</w:t>
            </w:r>
          </w:p>
        </w:tc>
        <w:tc>
          <w:tcPr>
            <w:tcW w:type="dxa" w:w="6912"/>
            <w:vAlign w:val="top"/>
            <w:tcMar>
              <w:top w:w="70" w:type="dxa"/>
              <w:start w:w="90" w:type="dxa"/>
              <w:bottom w:w="70" w:type="dxa"/>
              <w:end w:w="90" w:type="dxa"/>
            </w:tcMar>
            <w:shd w:fill="F5F8FA"/>
          </w:tcPr>
          <w:p>
            <w:pPr>
              <w:spacing w:after="20"/>
            </w:pPr>
            <w:r>
              <w:rPr>
                <w:rFonts w:ascii="Aptos" w:hAnsi="Aptos"/>
                <w:sz w:val="15"/>
              </w:rPr>
              <w:t>Test upload → processed media → creative → ad → policy review/status with paused/draft defaults. Do not confuse upload success with delivery.</w:t>
            </w:r>
          </w:p>
        </w:tc>
      </w:tr>
      <w:tr>
        <w:trPr>
          <w:cantSplit/>
        </w:trPr>
        <w:tc>
          <w:tcPr>
            <w:tcW w:type="dxa" w:w="2376"/>
            <w:vAlign w:val="top"/>
            <w:tcMar>
              <w:top w:w="70" w:type="dxa"/>
              <w:start w:w="90" w:type="dxa"/>
              <w:bottom w:w="70" w:type="dxa"/>
              <w:end w:w="90" w:type="dxa"/>
            </w:tcMar>
          </w:tcPr>
          <w:p>
            <w:pPr>
              <w:spacing w:after="20"/>
            </w:pPr>
            <w:r>
              <w:rPr>
                <w:rFonts w:ascii="Aptos" w:hAnsi="Aptos"/>
                <w:sz w:val="15"/>
              </w:rPr>
              <w:t>Privacy and policy</w:t>
            </w:r>
          </w:p>
        </w:tc>
        <w:tc>
          <w:tcPr>
            <w:tcW w:type="dxa" w:w="6912"/>
            <w:vAlign w:val="top"/>
            <w:tcMar>
              <w:top w:w="70" w:type="dxa"/>
              <w:start w:w="90" w:type="dxa"/>
              <w:bottom w:w="70" w:type="dxa"/>
              <w:end w:w="90" w:type="dxa"/>
            </w:tcMar>
          </w:tcPr>
          <w:p>
            <w:pPr>
              <w:spacing w:after="20"/>
            </w:pPr>
            <w:r>
              <w:rPr>
                <w:rFonts w:ascii="Aptos" w:hAnsi="Aptos"/>
                <w:sz w:val="15"/>
              </w:rPr>
              <w:t>Permission minimization, privacy policy, data deletion/disconnection, consent and data-use requirements for audience/conversion uploads.</w:t>
            </w:r>
          </w:p>
        </w:tc>
      </w:tr>
      <w:tr>
        <w:trPr>
          <w:cantSplit/>
        </w:trPr>
        <w:tc>
          <w:tcPr>
            <w:tcW w:type="dxa" w:w="2376"/>
            <w:vAlign w:val="top"/>
            <w:tcMar>
              <w:top w:w="70" w:type="dxa"/>
              <w:start w:w="90" w:type="dxa"/>
              <w:bottom w:w="70" w:type="dxa"/>
              <w:end w:w="90" w:type="dxa"/>
            </w:tcMar>
            <w:shd w:fill="F5F8FA"/>
          </w:tcPr>
          <w:p>
            <w:pPr>
              <w:spacing w:after="20"/>
            </w:pPr>
            <w:r>
              <w:rPr>
                <w:rFonts w:ascii="Aptos" w:hAnsi="Aptos"/>
                <w:sz w:val="15"/>
              </w:rPr>
              <w:t>Operational readiness</w:t>
            </w:r>
          </w:p>
        </w:tc>
        <w:tc>
          <w:tcPr>
            <w:tcW w:type="dxa" w:w="6912"/>
            <w:vAlign w:val="top"/>
            <w:tcMar>
              <w:top w:w="70" w:type="dxa"/>
              <w:start w:w="90" w:type="dxa"/>
              <w:bottom w:w="70" w:type="dxa"/>
              <w:end w:w="90" w:type="dxa"/>
            </w:tcMar>
            <w:shd w:fill="F5F8FA"/>
          </w:tcPr>
          <w:p>
            <w:pPr>
              <w:spacing w:after="20"/>
            </w:pPr>
            <w:r>
              <w:rPr>
                <w:rFonts w:ascii="Aptos" w:hAnsi="Aptos"/>
                <w:sz w:val="15"/>
              </w:rPr>
              <w:t>Structured logs with redaction, alerting, backups, restore drill, version-upgrade test, incident runbook and ownership of provider app reviews.</w:t>
            </w:r>
          </w:p>
        </w:tc>
      </w:tr>
    </w:tbl>
    <w:p>
      <w:pPr>
        <w:spacing w:after="20"/>
      </w:pPr>
    </w:p>
    <w:p>
      <w:pPr>
        <w:pStyle w:val="Heading1"/>
      </w:pPr>
      <w:r>
        <w:t>10.1 Go-live gates</w:t>
      </w:r>
    </w:p>
    <w:p>
      <w:pPr>
        <w:pStyle w:val="ListNumber"/>
        <w:spacing w:after="40"/>
      </w:pPr>
      <w:r>
        <w:t>No real customer is connected until provider app/access requirements for the intended use have been reviewed and approved where required.</w:t>
      </w:r>
    </w:p>
    <w:p>
      <w:pPr>
        <w:pStyle w:val="ListNumber"/>
        <w:spacing w:after="40"/>
      </w:pPr>
      <w:r>
        <w:t>No campaign-write route is internet-facing without application authentication, tenant-level authorization, schema validation and explicit action safety.</w:t>
      </w:r>
    </w:p>
    <w:p>
      <w:pPr>
        <w:pStyle w:val="ListNumber"/>
        <w:spacing w:after="40"/>
      </w:pPr>
      <w:r>
        <w:t>No feature is marked DONE until a recorded test against an authorized account exists. Static existence and a 200 response with an empty array are not proof of complete functionality.</w:t>
      </w:r>
    </w:p>
    <w:p>
      <w:pPr>
        <w:pStyle w:val="ListNumber"/>
        <w:spacing w:after="40"/>
      </w:pPr>
      <w:r>
        <w:t>Every new provider and every new resource type must update the capability matrix, source tests and documentation before the UI exposes it.</w:t>
      </w:r>
    </w:p>
    <w:p>
      <w:r>
        <w:br w:type="page"/>
      </w:r>
    </w:p>
    <w:p>
      <w:pPr>
        <w:pStyle w:val="Heading1"/>
      </w:pPr>
      <w:r>
        <w:t>11. Current API access and version findings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808"/>
            <w:shd w:fill="17365D"/>
            <w:vAlign w:val="center"/>
            <w:tcMar>
              <w:top w:w="70" w:type="dxa"/>
              <w:start w:w="90" w:type="dxa"/>
              <w:bottom w:w="70" w:type="dxa"/>
              <w:end w:w="90" w:type="dxa"/>
            </w:tcMar>
          </w:tcPr>
          <w:p>
            <w:pPr>
              <w:spacing w:after="0"/>
            </w:pPr>
            <w:r>
              <w:rPr>
                <w:b/>
                <w:color w:val="FFFFFF"/>
                <w:sz w:val="14"/>
              </w:rPr>
              <w:t>Provider / current fact</w:t>
            </w:r>
          </w:p>
        </w:tc>
        <w:tc>
          <w:tcPr>
            <w:tcW w:type="dxa" w:w="4536"/>
            <w:shd w:fill="17365D"/>
            <w:vAlign w:val="center"/>
            <w:tcMar>
              <w:top w:w="70" w:type="dxa"/>
              <w:start w:w="90" w:type="dxa"/>
              <w:bottom w:w="70" w:type="dxa"/>
              <w:end w:w="90" w:type="dxa"/>
            </w:tcMar>
          </w:tcPr>
          <w:p>
            <w:pPr>
              <w:spacing w:after="0"/>
            </w:pPr>
            <w:r>
              <w:rPr>
                <w:b/>
                <w:color w:val="FFFFFF"/>
                <w:sz w:val="14"/>
              </w:rPr>
              <w:t>What it means for this project</w:t>
            </w:r>
          </w:p>
        </w:tc>
        <w:tc>
          <w:tcPr>
            <w:tcW w:type="dxa" w:w="1944"/>
            <w:shd w:fill="17365D"/>
            <w:vAlign w:val="center"/>
            <w:tcMar>
              <w:top w:w="70" w:type="dxa"/>
              <w:start w:w="90" w:type="dxa"/>
              <w:bottom w:w="70" w:type="dxa"/>
              <w:end w:w="90" w:type="dxa"/>
            </w:tcMar>
          </w:tcPr>
          <w:p>
            <w:pPr>
              <w:spacing w:after="0"/>
            </w:pPr>
            <w:r>
              <w:rPr>
                <w:b/>
                <w:color w:val="FFFFFF"/>
                <w:sz w:val="14"/>
              </w:rPr>
              <w:t>Source</w:t>
            </w:r>
          </w:p>
        </w:tc>
      </w:tr>
      <w:tr>
        <w:trPr>
          <w:cantSplit/>
        </w:trPr>
        <w:tc>
          <w:tcPr>
            <w:tcW w:type="dxa" w:w="2808"/>
            <w:vAlign w:val="top"/>
            <w:tcMar>
              <w:top w:w="70" w:type="dxa"/>
              <w:start w:w="90" w:type="dxa"/>
              <w:bottom w:w="70" w:type="dxa"/>
              <w:end w:w="90" w:type="dxa"/>
            </w:tcMar>
          </w:tcPr>
          <w:p>
            <w:pPr>
              <w:spacing w:after="20"/>
            </w:pPr>
            <w:r>
              <w:rPr>
                <w:rFonts w:ascii="Aptos" w:hAnsi="Aptos"/>
                <w:sz w:val="14"/>
              </w:rPr>
              <w:t>Google Ads API v26 is latest; release date 14 Oct 2026.</w:t>
            </w:r>
          </w:p>
        </w:tc>
        <w:tc>
          <w:tcPr>
            <w:tcW w:type="dxa" w:w="4536"/>
            <w:vAlign w:val="top"/>
            <w:tcMar>
              <w:top w:w="70" w:type="dxa"/>
              <w:start w:w="90" w:type="dxa"/>
              <w:bottom w:w="70" w:type="dxa"/>
              <w:end w:w="90" w:type="dxa"/>
            </w:tcMar>
          </w:tcPr>
          <w:p>
            <w:pPr>
              <w:spacing w:after="20"/>
            </w:pPr>
            <w:r>
              <w:rPr>
                <w:rFonts w:ascii="Aptos" w:hAnsi="Aptos"/>
                <w:sz w:val="14"/>
              </w:rPr>
              <w:t>Current ZIP mostly uses v25. v25 remains listed as active and scheduled to sunset Aug 2027; do not rush a blind migration, but centralize version config and assess v26 breaking changes.</w:t>
            </w:r>
          </w:p>
        </w:tc>
        <w:tc>
          <w:tcPr>
            <w:tcW w:type="dxa" w:w="1944"/>
            <w:vAlign w:val="top"/>
            <w:tcMar>
              <w:top w:w="70" w:type="dxa"/>
              <w:start w:w="90" w:type="dxa"/>
              <w:bottom w:w="70" w:type="dxa"/>
              <w:end w:w="90" w:type="dxa"/>
            </w:tcMar>
          </w:tcPr>
          <w:p>
            <w:pPr>
              <w:spacing w:after="20"/>
            </w:pPr>
            <w:r>
              <w:rPr>
                <w:rFonts w:ascii="Aptos" w:hAnsi="Aptos"/>
                <w:sz w:val="14"/>
              </w:rPr>
              <w:t>Google release notes and upgrade schedule.</w:t>
            </w:r>
          </w:p>
        </w:tc>
      </w:tr>
      <w:tr>
        <w:trPr>
          <w:cantSplit/>
        </w:trPr>
        <w:tc>
          <w:tcPr>
            <w:tcW w:type="dxa" w:w="2808"/>
            <w:vAlign w:val="top"/>
            <w:tcMar>
              <w:top w:w="70" w:type="dxa"/>
              <w:start w:w="90" w:type="dxa"/>
              <w:bottom w:w="70" w:type="dxa"/>
              <w:end w:w="90" w:type="dxa"/>
            </w:tcMar>
            <w:shd w:fill="F5F8FA"/>
          </w:tcPr>
          <w:p>
            <w:pPr>
              <w:spacing w:after="20"/>
            </w:pPr>
            <w:r>
              <w:rPr>
                <w:rFonts w:ascii="Aptos" w:hAnsi="Aptos"/>
                <w:sz w:val="14"/>
              </w:rPr>
              <w:t>Google developer tokens sunset 9 Sep 2026 for core Ads API.</w:t>
            </w:r>
          </w:p>
        </w:tc>
        <w:tc>
          <w:tcPr>
            <w:tcW w:type="dxa" w:w="4536"/>
            <w:vAlign w:val="top"/>
            <w:tcMar>
              <w:top w:w="70" w:type="dxa"/>
              <w:start w:w="90" w:type="dxa"/>
              <w:bottom w:w="70" w:type="dxa"/>
              <w:end w:w="90" w:type="dxa"/>
            </w:tcMar>
            <w:shd w:fill="F5F8FA"/>
          </w:tcPr>
          <w:p>
            <w:pPr>
              <w:spacing w:after="20"/>
            </w:pPr>
            <w:r>
              <w:rPr>
                <w:rFonts w:ascii="Aptos" w:hAnsi="Aptos"/>
                <w:sz w:val="14"/>
              </w:rPr>
              <w:t>Core API access levels are now attached to the Google Cloud project that owns the OAuth credentials. Some code/docs still require GOOGLE_ADS_DEVELOPER_TOKEN locally; review and remove obsolete hard requirements where no longer applicable.</w:t>
            </w:r>
          </w:p>
        </w:tc>
        <w:tc>
          <w:tcPr>
            <w:tcW w:type="dxa" w:w="1944"/>
            <w:vAlign w:val="top"/>
            <w:tcMar>
              <w:top w:w="70" w:type="dxa"/>
              <w:start w:w="90" w:type="dxa"/>
              <w:bottom w:w="70" w:type="dxa"/>
              <w:end w:w="90" w:type="dxa"/>
            </w:tcMar>
            <w:shd w:fill="F5F8FA"/>
          </w:tcPr>
          <w:p>
            <w:pPr>
              <w:spacing w:after="20"/>
            </w:pPr>
            <w:r>
              <w:rPr>
                <w:rFonts w:ascii="Aptos" w:hAnsi="Aptos"/>
                <w:sz w:val="14"/>
              </w:rPr>
              <w:t>Google access-level and developer-token transition docs.</w:t>
            </w:r>
          </w:p>
        </w:tc>
      </w:tr>
      <w:tr>
        <w:trPr>
          <w:cantSplit/>
        </w:trPr>
        <w:tc>
          <w:tcPr>
            <w:tcW w:type="dxa" w:w="2808"/>
            <w:vAlign w:val="top"/>
            <w:tcMar>
              <w:top w:w="70" w:type="dxa"/>
              <w:start w:w="90" w:type="dxa"/>
              <w:bottom w:w="70" w:type="dxa"/>
              <w:end w:w="90" w:type="dxa"/>
            </w:tcMar>
          </w:tcPr>
          <w:p>
            <w:pPr>
              <w:spacing w:after="20"/>
            </w:pPr>
            <w:r>
              <w:rPr>
                <w:rFonts w:ascii="Aptos" w:hAnsi="Aptos"/>
                <w:sz w:val="14"/>
              </w:rPr>
              <w:t>Google access level and permissible use still constrain capabilities.</w:t>
            </w:r>
          </w:p>
        </w:tc>
        <w:tc>
          <w:tcPr>
            <w:tcW w:type="dxa" w:w="4536"/>
            <w:vAlign w:val="top"/>
            <w:tcMar>
              <w:top w:w="70" w:type="dxa"/>
              <w:start w:w="90" w:type="dxa"/>
              <w:bottom w:w="70" w:type="dxa"/>
              <w:end w:w="90" w:type="dxa"/>
            </w:tcMar>
          </w:tcPr>
          <w:p>
            <w:pPr>
              <w:spacing w:after="20"/>
            </w:pPr>
            <w:r>
              <w:rPr>
                <w:rFonts w:ascii="Aptos" w:hAnsi="Aptos"/>
                <w:sz w:val="14"/>
              </w:rPr>
              <w:t>Test access is limited to test accounts; Explorer has 2,880 production operations/day; Basic and Standard have different quotas and application requirements. A full SaaS must record actual access and quotas.</w:t>
            </w:r>
          </w:p>
        </w:tc>
        <w:tc>
          <w:tcPr>
            <w:tcW w:type="dxa" w:w="1944"/>
            <w:vAlign w:val="top"/>
            <w:tcMar>
              <w:top w:w="70" w:type="dxa"/>
              <w:start w:w="90" w:type="dxa"/>
              <w:bottom w:w="70" w:type="dxa"/>
              <w:end w:w="90" w:type="dxa"/>
            </w:tcMar>
          </w:tcPr>
          <w:p>
            <w:pPr>
              <w:spacing w:after="20"/>
            </w:pPr>
            <w:r>
              <w:rPr>
                <w:rFonts w:ascii="Aptos" w:hAnsi="Aptos"/>
                <w:sz w:val="14"/>
              </w:rPr>
              <w:t>Google Ads API access levels.</w:t>
            </w:r>
          </w:p>
        </w:tc>
      </w:tr>
      <w:tr>
        <w:trPr>
          <w:cantSplit/>
        </w:trPr>
        <w:tc>
          <w:tcPr>
            <w:tcW w:type="dxa" w:w="2808"/>
            <w:vAlign w:val="top"/>
            <w:tcMar>
              <w:top w:w="70" w:type="dxa"/>
              <w:start w:w="90" w:type="dxa"/>
              <w:bottom w:w="70" w:type="dxa"/>
              <w:end w:w="90" w:type="dxa"/>
            </w:tcMar>
            <w:shd w:fill="F5F8FA"/>
          </w:tcPr>
          <w:p>
            <w:pPr>
              <w:spacing w:after="20"/>
            </w:pPr>
            <w:r>
              <w:rPr>
                <w:rFonts w:ascii="Aptos" w:hAnsi="Aptos"/>
                <w:sz w:val="14"/>
              </w:rPr>
              <w:t>Google Data Manager API is now a key audience/event path.</w:t>
            </w:r>
          </w:p>
        </w:tc>
        <w:tc>
          <w:tcPr>
            <w:tcW w:type="dxa" w:w="4536"/>
            <w:vAlign w:val="top"/>
            <w:tcMar>
              <w:top w:w="70" w:type="dxa"/>
              <w:start w:w="90" w:type="dxa"/>
              <w:bottom w:w="70" w:type="dxa"/>
              <w:end w:w="90" w:type="dxa"/>
            </w:tcMar>
            <w:shd w:fill="F5F8FA"/>
          </w:tcPr>
          <w:p>
            <w:pPr>
              <w:spacing w:after="20"/>
            </w:pPr>
            <w:r>
              <w:rPr>
                <w:rFonts w:ascii="Aptos" w:hAnsi="Aptos"/>
                <w:sz w:val="14"/>
              </w:rPr>
              <w:t>Most new Customer Match integrations must use Data Manager API since 1 Apr 2026. Build new audience/conversion ingestion against current product guidance.</w:t>
            </w:r>
          </w:p>
        </w:tc>
        <w:tc>
          <w:tcPr>
            <w:tcW w:type="dxa" w:w="1944"/>
            <w:vAlign w:val="top"/>
            <w:tcMar>
              <w:top w:w="70" w:type="dxa"/>
              <w:start w:w="90" w:type="dxa"/>
              <w:bottom w:w="70" w:type="dxa"/>
              <w:end w:w="90" w:type="dxa"/>
            </w:tcMar>
            <w:shd w:fill="F5F8FA"/>
          </w:tcPr>
          <w:p>
            <w:pPr>
              <w:spacing w:after="20"/>
            </w:pPr>
            <w:r>
              <w:rPr>
                <w:rFonts w:ascii="Aptos" w:hAnsi="Aptos"/>
                <w:sz w:val="14"/>
              </w:rPr>
              <w:t>Google Data Manager API and Customer Match guides.</w:t>
            </w:r>
          </w:p>
        </w:tc>
      </w:tr>
      <w:tr>
        <w:trPr>
          <w:cantSplit/>
        </w:trPr>
        <w:tc>
          <w:tcPr>
            <w:tcW w:type="dxa" w:w="2808"/>
            <w:vAlign w:val="top"/>
            <w:tcMar>
              <w:top w:w="70" w:type="dxa"/>
              <w:start w:w="90" w:type="dxa"/>
              <w:bottom w:w="70" w:type="dxa"/>
              <w:end w:w="90" w:type="dxa"/>
            </w:tcMar>
          </w:tcPr>
          <w:p>
            <w:pPr>
              <w:spacing w:after="20"/>
            </w:pPr>
            <w:r>
              <w:rPr>
                <w:rFonts w:ascii="Aptos" w:hAnsi="Aptos"/>
                <w:sz w:val="14"/>
              </w:rPr>
              <w:t>Google billing API has eligibility restrictions.</w:t>
            </w:r>
          </w:p>
        </w:tc>
        <w:tc>
          <w:tcPr>
            <w:tcW w:type="dxa" w:w="4536"/>
            <w:vAlign w:val="top"/>
            <w:tcMar>
              <w:top w:w="70" w:type="dxa"/>
              <w:start w:w="90" w:type="dxa"/>
              <w:bottom w:w="70" w:type="dxa"/>
              <w:end w:w="90" w:type="dxa"/>
            </w:tcMar>
          </w:tcPr>
          <w:p>
            <w:pPr>
              <w:spacing w:after="20"/>
            </w:pPr>
            <w:r>
              <w:rPr>
                <w:rFonts w:ascii="Aptos" w:hAnsi="Aptos"/>
                <w:sz w:val="14"/>
              </w:rPr>
              <w:t>Billing setups, account budgets and invoices require monthly invoicing; this is not available for every advertiser.</w:t>
            </w:r>
          </w:p>
        </w:tc>
        <w:tc>
          <w:tcPr>
            <w:tcW w:type="dxa" w:w="1944"/>
            <w:vAlign w:val="top"/>
            <w:tcMar>
              <w:top w:w="70" w:type="dxa"/>
              <w:start w:w="90" w:type="dxa"/>
              <w:bottom w:w="70" w:type="dxa"/>
              <w:end w:w="90" w:type="dxa"/>
            </w:tcMar>
          </w:tcPr>
          <w:p>
            <w:pPr>
              <w:spacing w:after="20"/>
            </w:pPr>
            <w:r>
              <w:rPr>
                <w:rFonts w:ascii="Aptos" w:hAnsi="Aptos"/>
                <w:sz w:val="14"/>
              </w:rPr>
              <w:t>Google billing guide.</w:t>
            </w:r>
          </w:p>
        </w:tc>
      </w:tr>
      <w:tr>
        <w:trPr>
          <w:cantSplit/>
        </w:trPr>
        <w:tc>
          <w:tcPr>
            <w:tcW w:type="dxa" w:w="2808"/>
            <w:vAlign w:val="top"/>
            <w:tcMar>
              <w:top w:w="70" w:type="dxa"/>
              <w:start w:w="90" w:type="dxa"/>
              <w:bottom w:w="70" w:type="dxa"/>
              <w:end w:w="90" w:type="dxa"/>
            </w:tcMar>
            <w:shd w:fill="F5F8FA"/>
          </w:tcPr>
          <w:p>
            <w:pPr>
              <w:spacing w:after="20"/>
            </w:pPr>
            <w:r>
              <w:rPr>
                <w:rFonts w:ascii="Aptos" w:hAnsi="Aptos"/>
                <w:sz w:val="14"/>
              </w:rPr>
              <w:t>Meta renamed Ads Management Standard Access to Marketing API Access Tier on 4 May 2026.</w:t>
            </w:r>
          </w:p>
        </w:tc>
        <w:tc>
          <w:tcPr>
            <w:tcW w:type="dxa" w:w="4536"/>
            <w:vAlign w:val="top"/>
            <w:tcMar>
              <w:top w:w="70" w:type="dxa"/>
              <w:start w:w="90" w:type="dxa"/>
              <w:bottom w:w="70" w:type="dxa"/>
              <w:end w:w="90" w:type="dxa"/>
            </w:tcMar>
            <w:shd w:fill="F5F8FA"/>
          </w:tcPr>
          <w:p>
            <w:pPr>
              <w:spacing w:after="20"/>
            </w:pPr>
            <w:r>
              <w:rPr>
                <w:rFonts w:ascii="Aptos" w:hAnsi="Aptos"/>
                <w:sz w:val="14"/>
              </w:rPr>
              <w:t>Current UI labels are Limited Access and Full Access. This is separate from the ads_management permission. Full-tier qualification criteria in Meta’s announcement include 500+ API calls in 15 days and under 15% error over the last 500 calls. Confirm current app dashboard eligibility.</w:t>
            </w:r>
          </w:p>
        </w:tc>
        <w:tc>
          <w:tcPr>
            <w:tcW w:type="dxa" w:w="1944"/>
            <w:vAlign w:val="top"/>
            <w:tcMar>
              <w:top w:w="70" w:type="dxa"/>
              <w:start w:w="90" w:type="dxa"/>
              <w:bottom w:w="70" w:type="dxa"/>
              <w:end w:w="90" w:type="dxa"/>
            </w:tcMar>
            <w:shd w:fill="F5F8FA"/>
          </w:tcPr>
          <w:p>
            <w:pPr>
              <w:spacing w:after="20"/>
            </w:pPr>
            <w:r>
              <w:rPr>
                <w:rFonts w:ascii="Aptos" w:hAnsi="Aptos"/>
                <w:sz w:val="14"/>
              </w:rPr>
              <w:t>Meta developer announcement.</w:t>
            </w:r>
          </w:p>
        </w:tc>
      </w:tr>
      <w:tr>
        <w:trPr>
          <w:cantSplit/>
        </w:trPr>
        <w:tc>
          <w:tcPr>
            <w:tcW w:type="dxa" w:w="2808"/>
            <w:vAlign w:val="top"/>
            <w:tcMar>
              <w:top w:w="70" w:type="dxa"/>
              <w:start w:w="90" w:type="dxa"/>
              <w:bottom w:w="70" w:type="dxa"/>
              <w:end w:w="90" w:type="dxa"/>
            </w:tcMar>
          </w:tcPr>
          <w:p>
            <w:pPr>
              <w:spacing w:after="20"/>
            </w:pPr>
            <w:r>
              <w:rPr>
                <w:rFonts w:ascii="Aptos" w:hAnsi="Aptos"/>
                <w:sz w:val="14"/>
              </w:rPr>
              <w:t>Meta Customer List Custom Audiences require lawful rights/permissions and usage compliance.</w:t>
            </w:r>
          </w:p>
        </w:tc>
        <w:tc>
          <w:tcPr>
            <w:tcW w:type="dxa" w:w="4536"/>
            <w:vAlign w:val="top"/>
            <w:tcMar>
              <w:top w:w="70" w:type="dxa"/>
              <w:start w:w="90" w:type="dxa"/>
              <w:bottom w:w="70" w:type="dxa"/>
              <w:end w:w="90" w:type="dxa"/>
            </w:tcMar>
          </w:tcPr>
          <w:p>
            <w:pPr>
              <w:spacing w:after="20"/>
            </w:pPr>
            <w:r>
              <w:rPr>
                <w:rFonts w:ascii="Aptos" w:hAnsi="Aptos"/>
                <w:sz w:val="14"/>
              </w:rPr>
              <w:t>Audience upload is a privacy/policy workflow, not merely POSTing hashed emails. Store consent/source metadata as required and block unsupported data sources.</w:t>
            </w:r>
          </w:p>
        </w:tc>
        <w:tc>
          <w:tcPr>
            <w:tcW w:type="dxa" w:w="1944"/>
            <w:vAlign w:val="top"/>
            <w:tcMar>
              <w:top w:w="70" w:type="dxa"/>
              <w:start w:w="90" w:type="dxa"/>
              <w:bottom w:w="70" w:type="dxa"/>
              <w:end w:w="90" w:type="dxa"/>
            </w:tcMar>
          </w:tcPr>
          <w:p>
            <w:pPr>
              <w:spacing w:after="20"/>
            </w:pPr>
            <w:r>
              <w:rPr>
                <w:rFonts w:ascii="Aptos" w:hAnsi="Aptos"/>
                <w:sz w:val="14"/>
              </w:rPr>
              <w:t>Meta Custom Audience terms.</w:t>
            </w:r>
          </w:p>
        </w:tc>
      </w:tr>
    </w:tbl>
    <w:p>
      <w:pPr>
        <w:spacing w:after="20"/>
      </w:pPr>
    </w:p>
    <w:p>
      <w:pPr>
        <w:pStyle w:val="Heading1"/>
      </w:pPr>
      <w:r>
        <w:t>12. Official documentation links</w:t>
      </w:r>
    </w:p>
    <w:p>
      <w:r>
        <w:t>Use provider documentation as the authoritative source for endpoint availability, field compatibility, API version sunsets, app permissions and account eligibility. Third-party tutorials and the bundled learning notes can be useful, but should not determine a production promise.</w:t>
      </w:r>
    </w:p>
    <w:p>
      <w:pPr>
        <w:pStyle w:val="ListBullet"/>
        <w:spacing w:after="40"/>
      </w:pPr>
      <w:r>
        <w:rPr>
          <w:color w:val="1F4E79"/>
          <w:sz w:val="17"/>
        </w:rPr>
        <w:t>Google Ads API introduction — https://developers.google.com/google-ads/api/docs/get-started/introduction</w:t>
      </w:r>
    </w:p>
    <w:p>
      <w:pPr>
        <w:pStyle w:val="ListBullet"/>
        <w:spacing w:after="40"/>
      </w:pPr>
      <w:r>
        <w:rPr>
          <w:color w:val="1F4E79"/>
          <w:sz w:val="17"/>
        </w:rPr>
        <w:t>Google Ads API access levels / permissible use — https://developers.google.com/google-ads/api/docs/api-policy/access-levels</w:t>
      </w:r>
    </w:p>
    <w:p>
      <w:pPr>
        <w:pStyle w:val="ListBullet"/>
        <w:spacing w:after="40"/>
      </w:pPr>
      <w:r>
        <w:rPr>
          <w:color w:val="1F4E79"/>
          <w:sz w:val="17"/>
        </w:rPr>
        <w:t>Google developer-token sunset transition — https://developers.google.com/google-ads/api/docs/api-policy/developer-token</w:t>
      </w:r>
    </w:p>
    <w:p>
      <w:pPr>
        <w:pStyle w:val="ListBullet"/>
        <w:spacing w:after="40"/>
      </w:pPr>
      <w:r>
        <w:rPr>
          <w:color w:val="1F4E79"/>
          <w:sz w:val="17"/>
        </w:rPr>
        <w:t>Google Ads API release notes (v26 latest as checked on 28 Oct 2026) — https://developers.google.com/google-ads/api/docs/release-notes</w:t>
      </w:r>
    </w:p>
    <w:p>
      <w:pPr>
        <w:pStyle w:val="ListBullet"/>
        <w:spacing w:after="40"/>
      </w:pPr>
      <w:r>
        <w:rPr>
          <w:color w:val="1F4E79"/>
          <w:sz w:val="17"/>
        </w:rPr>
        <w:t>Google Ads API version upgrade and sunset schedule — https://developers.google.com/google-ads/api/docs/upgrade</w:t>
      </w:r>
    </w:p>
    <w:p>
      <w:pPr>
        <w:pStyle w:val="ListBullet"/>
        <w:spacing w:after="40"/>
      </w:pPr>
      <w:r>
        <w:rPr>
          <w:color w:val="1F4E79"/>
          <w:sz w:val="17"/>
        </w:rPr>
        <w:t>Google Ads campaign architecture — https://developers.google.com/google-ads/api/docs/campaigns/overview</w:t>
      </w:r>
    </w:p>
    <w:p>
      <w:pPr>
        <w:pStyle w:val="ListBullet"/>
        <w:spacing w:after="40"/>
      </w:pPr>
      <w:r>
        <w:rPr>
          <w:color w:val="1F4E79"/>
          <w:sz w:val="17"/>
        </w:rPr>
        <w:t>Google Ads reporting / GAQL — https://developers.google.com/google-ads/api/docs/reporting/overview</w:t>
      </w:r>
    </w:p>
    <w:p>
      <w:pPr>
        <w:pStyle w:val="ListBullet"/>
        <w:spacing w:after="40"/>
      </w:pPr>
      <w:r>
        <w:rPr>
          <w:color w:val="1F4E79"/>
          <w:sz w:val="17"/>
        </w:rPr>
        <w:t>Google Ads targeting — https://developers.google.com/google-ads/api/docs/targeting/overview</w:t>
      </w:r>
    </w:p>
    <w:p>
      <w:pPr>
        <w:pStyle w:val="ListBullet"/>
        <w:spacing w:after="40"/>
      </w:pPr>
      <w:r>
        <w:rPr>
          <w:color w:val="1F4E79"/>
          <w:sz w:val="17"/>
        </w:rPr>
        <w:t>Google Ads assets — https://developers.google.com/google-ads/api/docs/assets/overview</w:t>
      </w:r>
    </w:p>
    <w:p>
      <w:pPr>
        <w:pStyle w:val="ListBullet"/>
        <w:spacing w:after="40"/>
      </w:pPr>
      <w:r>
        <w:rPr>
          <w:color w:val="1F4E79"/>
          <w:sz w:val="17"/>
        </w:rPr>
        <w:t>Google Ads conversion management — https://developers.google.com/google-ads/api/docs/conversions/overview</w:t>
      </w:r>
    </w:p>
    <w:p>
      <w:pPr>
        <w:pStyle w:val="ListBullet"/>
        <w:spacing w:after="40"/>
      </w:pPr>
      <w:r>
        <w:rPr>
          <w:color w:val="1F4E79"/>
          <w:sz w:val="17"/>
        </w:rPr>
        <w:t>Google Data Manager API — https://developers.google.com/data-manager/api/devguides</w:t>
      </w:r>
    </w:p>
    <w:p>
      <w:pPr>
        <w:pStyle w:val="ListBullet"/>
        <w:spacing w:after="40"/>
      </w:pPr>
      <w:r>
        <w:rPr>
          <w:color w:val="1F4E79"/>
          <w:sz w:val="17"/>
        </w:rPr>
        <w:t>Google audience management — https://developers.google.com/google-ads/api/docs/remarketing/overview</w:t>
      </w:r>
    </w:p>
    <w:p>
      <w:pPr>
        <w:pStyle w:val="ListBullet"/>
        <w:spacing w:after="40"/>
      </w:pPr>
      <w:r>
        <w:rPr>
          <w:color w:val="1F4E79"/>
          <w:sz w:val="17"/>
        </w:rPr>
        <w:t>Google Ads billing — https://developers.google.com/google-ads/api/docs/billing/overview</w:t>
      </w:r>
    </w:p>
    <w:p>
      <w:pPr>
        <w:pStyle w:val="ListBullet"/>
        <w:spacing w:after="40"/>
      </w:pPr>
      <w:r>
        <w:rPr>
          <w:color w:val="1F4E79"/>
          <w:sz w:val="17"/>
        </w:rPr>
        <w:t>Google OAuth web server flow — https://developers.google.com/identity/protocols/oauth2/web-server</w:t>
      </w:r>
    </w:p>
    <w:p>
      <w:pPr>
        <w:pStyle w:val="ListBullet"/>
        <w:spacing w:after="40"/>
      </w:pPr>
      <w:r>
        <w:rPr>
          <w:color w:val="1F4E79"/>
          <w:sz w:val="17"/>
        </w:rPr>
        <w:t>Meta Marketing API overview — https://developers.facebook.com/docs/marketing-api/</w:t>
      </w:r>
    </w:p>
    <w:p>
      <w:pPr>
        <w:pStyle w:val="ListBullet"/>
        <w:spacing w:after="40"/>
      </w:pPr>
      <w:r>
        <w:rPr>
          <w:color w:val="1F4E79"/>
          <w:sz w:val="17"/>
        </w:rPr>
        <w:t>Meta official Marketing API Postman collection — https://www.postman.com/meta/facebook-marketing-api/overview</w:t>
      </w:r>
    </w:p>
    <w:p>
      <w:pPr>
        <w:pStyle w:val="ListBullet"/>
        <w:spacing w:after="40"/>
      </w:pPr>
      <w:r>
        <w:rPr>
          <w:color w:val="1F4E79"/>
          <w:sz w:val="17"/>
        </w:rPr>
        <w:t>Meta Marketing API Access Tier announcement (4 May 2026) — https://developers.meta.com/blog/updates-to-ads-management-standard-access-feature/</w:t>
      </w:r>
    </w:p>
    <w:p>
      <w:pPr>
        <w:pStyle w:val="ListBullet"/>
        <w:spacing w:after="40"/>
      </w:pPr>
      <w:r>
        <w:rPr>
          <w:color w:val="1F4E79"/>
          <w:sz w:val="17"/>
        </w:rPr>
        <w:t>Meta Conversions API documentation — https://developers.facebook.com/docs/marketing-api/conversions-api/</w:t>
      </w:r>
    </w:p>
    <w:p>
      <w:pPr>
        <w:pStyle w:val="ListBullet"/>
        <w:spacing w:after="40"/>
      </w:pPr>
      <w:r>
        <w:rPr>
          <w:color w:val="1F4E79"/>
          <w:sz w:val="17"/>
        </w:rPr>
        <w:t>Meta Custom Audience terms — https://www.facebook.com/legal/terms/customaudience/update</w:t>
      </w:r>
    </w:p>
    <w:p>
      <w:pPr>
        <w:pStyle w:val="ListBullet"/>
        <w:spacing w:after="40"/>
      </w:pPr>
      <w:r>
        <w:rPr>
          <w:color w:val="1F4E79"/>
          <w:sz w:val="17"/>
        </w:rPr>
        <w:t>OWASP API Security Top 10 — https://owasp.org/API-Security/editions/2023/en/0x00-header/</w:t>
      </w:r>
    </w:p>
    <w:p>
      <w:r>
        <w:br w:type="page"/>
      </w:r>
    </w:p>
    <w:p>
      <w:pPr>
        <w:pStyle w:val="Heading1"/>
      </w:pPr>
      <w:r>
        <w:t>13. Final assessment and work order</w:t>
      </w:r>
    </w:p>
    <w:tbl>
      <w:tblPr>
        <w:tblW w:type="auto" w:w="0"/>
        <w:jc w:val="center"/>
        <w:tblLook w:firstColumn="1" w:firstRow="1" w:lastColumn="0" w:lastRow="0" w:noHBand="0" w:noVBand="1" w:val="04A0"/>
      </w:tblPr>
      <w:tblGrid>
        <w:gridCol w:w="10282"/>
      </w:tblGrid>
      <w:tr>
        <w:tc>
          <w:tcPr>
            <w:tcW w:type="dxa" w:w="10282"/>
            <w:shd w:fill="DDEBF7"/>
            <w:tcMar>
              <w:top w:w="130" w:type="dxa"/>
              <w:start w:w="160" w:type="dxa"/>
              <w:bottom w:w="130" w:type="dxa"/>
              <w:end w:w="160" w:type="dxa"/>
            </w:tcMar>
          </w:tcPr>
          <w:p>
            <w:pPr>
              <w:spacing w:after="40"/>
            </w:pPr>
            <w:r>
              <w:rPr>
                <w:b/>
                <w:color w:val="17365D"/>
                <w:sz w:val="22"/>
              </w:rPr>
              <w:t>Decision</w:t>
              <w:br/>
            </w:r>
            <w:r>
              <w:rPr>
                <w:sz w:val="18"/>
              </w:rPr>
              <w:t>Proceed with the product idea. Reuse the existing provider code as learning/reference modules, not as a ready-to-host SaaS. The next work should be a controlled foundation and audit phase—not adding dozens of new endpoints immediately.</w:t>
            </w:r>
          </w:p>
        </w:tc>
      </w:tr>
    </w:tbl>
    <w:p>
      <w:pPr>
        <w:spacing w:after="20"/>
      </w:pPr>
    </w:p>
    <w:p>
      <w:pPr>
        <w:pStyle w:val="Heading2"/>
      </w:pPr>
      <w:r>
        <w:t>Recommended work order</w:t>
      </w:r>
    </w:p>
    <w:p>
      <w:pPr>
        <w:spacing w:after="60"/>
        <w:ind w:left="403" w:hanging="403"/>
      </w:pPr>
      <w:r>
        <w:rPr>
          <w:b/>
        </w:rPr>
        <w:t xml:space="preserve">1. </w:t>
      </w:r>
      <w:r>
        <w:t>Protect secrets and close the Meta token path/logging issues.</w:t>
      </w:r>
    </w:p>
    <w:p>
      <w:pPr>
        <w:spacing w:after="60"/>
        <w:ind w:left="403" w:hanging="403"/>
      </w:pPr>
      <w:r>
        <w:rPr>
          <w:b/>
        </w:rPr>
        <w:t xml:space="preserve">2. </w:t>
      </w:r>
      <w:r>
        <w:t>Confirm current Google project access level and remove stale assumptions about developer tokens; verify the desired Meta app permissions and access tier.</w:t>
      </w:r>
    </w:p>
    <w:p>
      <w:pPr>
        <w:spacing w:after="60"/>
        <w:ind w:left="403" w:hanging="403"/>
      </w:pPr>
      <w:r>
        <w:rPr>
          <w:b/>
        </w:rPr>
        <w:t xml:space="preserve">3. </w:t>
      </w:r>
      <w:r>
        <w:t>Create one shared product backend boundary with a Google adapter and a Meta adapter; keep provider-specific implementation details inside each adapter.</w:t>
      </w:r>
    </w:p>
    <w:p>
      <w:pPr>
        <w:spacing w:after="60"/>
        <w:ind w:left="403" w:hanging="403"/>
      </w:pPr>
      <w:r>
        <w:rPr>
          <w:b/>
        </w:rPr>
        <w:t xml:space="preserve">4. </w:t>
      </w:r>
      <w:r>
        <w:t>Add app login, organizations, database-backed provider connections and tenant/resource-level authorization.</w:t>
      </w:r>
    </w:p>
    <w:p>
      <w:pPr>
        <w:spacing w:after="60"/>
        <w:ind w:left="403" w:hanging="403"/>
      </w:pPr>
      <w:r>
        <w:rPr>
          <w:b/>
        </w:rPr>
        <w:t xml:space="preserve">5. </w:t>
      </w:r>
      <w:r>
        <w:t>Build unified read-only reporting with a carefully defined metric dictionary, currency/time-zone handling and visible freshness.</w:t>
      </w:r>
    </w:p>
    <w:p>
      <w:pPr>
        <w:spacing w:after="60"/>
        <w:ind w:left="403" w:hanging="403"/>
      </w:pPr>
      <w:r>
        <w:rPr>
          <w:b/>
        </w:rPr>
        <w:t xml:space="preserve">6. </w:t>
      </w:r>
      <w:r>
        <w:t>Add a typed, previewable, idempotent action engine for simple campaign operations.</w:t>
      </w:r>
    </w:p>
    <w:p>
      <w:pPr>
        <w:spacing w:after="60"/>
        <w:ind w:left="403" w:hanging="403"/>
      </w:pPr>
      <w:r>
        <w:rPr>
          <w:b/>
        </w:rPr>
        <w:t xml:space="preserve">7. </w:t>
      </w:r>
      <w:r>
        <w:t>Implement the missing targeting, audiences, conversion event ingestion, full campaign-type workflows and billing in separate scoped modules.</w:t>
      </w:r>
    </w:p>
    <w:p>
      <w:pPr>
        <w:spacing w:after="60"/>
        <w:ind w:left="403" w:hanging="403"/>
      </w:pPr>
      <w:r>
        <w:rPr>
          <w:b/>
        </w:rPr>
        <w:t xml:space="preserve">8. </w:t>
      </w:r>
      <w:r>
        <w:t>Add live integration tests, security review, monitoring and provider-version maintenance as release requirements.</w:t>
      </w:r>
    </w:p>
    <w:p>
      <w:pPr>
        <w:pStyle w:val="Heading2"/>
      </w:pPr>
      <w:r>
        <w:t>Business/product decisions to keep open until the foundation is proven</w:t>
      </w:r>
    </w:p>
    <w:p>
      <w:pPr>
        <w:pStyle w:val="ListBullet"/>
        <w:spacing w:after="40"/>
      </w:pPr>
      <w:r>
        <w:t>Who is the first target user: individual advertisers, small businesses, or agencies managing many client accounts?</w:t>
      </w:r>
    </w:p>
    <w:p>
      <w:pPr>
        <w:pStyle w:val="ListBullet"/>
        <w:spacing w:after="40"/>
      </w:pPr>
      <w:r>
        <w:t>Does the MVP need read-only reporting first, or must the first public release allow campaign writes?</w:t>
      </w:r>
    </w:p>
    <w:p>
      <w:pPr>
        <w:pStyle w:val="ListBullet"/>
        <w:spacing w:after="40"/>
      </w:pPr>
      <w:r>
        <w:t>Does “billing management” mean advertising spend/invoices, your SaaS subscription billing, or both? They should be separate modules.</w:t>
      </w:r>
    </w:p>
    <w:p>
      <w:pPr>
        <w:pStyle w:val="ListBullet"/>
        <w:spacing w:after="40"/>
      </w:pPr>
      <w:r>
        <w:t>Which conversion source is the desired source of truth: platform attribution, website analytics, or order/CRM records?</w:t>
      </w:r>
    </w:p>
    <w:p>
      <w:pPr>
        <w:pStyle w:val="ListBullet"/>
        <w:spacing w:after="40"/>
      </w:pPr>
      <w:r>
        <w:t>Which extra networks, if any, are required after Google and Meta?</w:t>
      </w:r>
    </w:p>
    <w:p>
      <w:r>
        <w:t>These are later product-scope decisions; they do not block the feasibility conclusion. The product is feasible, but its final scope should be capability-driven and provider-verified.</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Prepared 28 October 2026  •  Static review of supplied ZIP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5B6573"/>
        <w:sz w:val="15"/>
      </w:rPr>
      <w:t>UNIFIED ADS MANAGEMENT PLATFORM  |  CODEBASE AUDIT &amp;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Ads Management Platform — ZIP Audit and Research-Backed Feature Gap Analysis</dc:title>
  <dc:subject>Google Ads and Meta Ads API capability audit, security findings, architecture and implementation roadmap</dc:subject>
  <dc:creator>OpenAI</dc:creator>
  <cp:keywords>Google Ads API, Meta Marketing API, SaaS, audit, feature gap, architecture</cp:keywords>
  <dc:description>generated by python-docx</dc:description>
  <cp:lastModifiedBy/>
  <cp:revision>1</cp:revision>
  <dcterms:created xsi:type="dcterms:W3CDTF">2013-12-23T23:15:00Z</dcterms:created>
  <dcterms:modified xsi:type="dcterms:W3CDTF">2013-12-23T23:15:00Z</dcterms:modified>
  <cp:category/>
</cp:coreProperties>
</file>