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698C"/>
          <w:sz w:val="20"/>
        </w:rPr>
        <w:t>UNIFIED ADS MANAGEMENT PLATFORM</w:t>
      </w:r>
    </w:p>
    <w:p>
      <w:pPr>
        <w:pStyle w:val="Title"/>
        <w:jc w:val="center"/>
      </w:pPr>
      <w:r>
        <w:t>Shared vs. Provider-Specific Architecture</w:t>
      </w:r>
    </w:p>
    <w:p>
      <w:pPr>
        <w:jc w:val="center"/>
      </w:pPr>
      <w:r>
        <w:rPr>
          <w:i/>
          <w:color w:val="5F6975"/>
          <w:sz w:val="18"/>
        </w:rPr>
        <w:t>Senior review brief • Planning stage • No implementation decisions locked beyond confirmed product requirements</w:t>
      </w:r>
    </w:p>
    <w:p>
      <w:r>
        <w:t>Purpose: explain which parts of the product should be built once for both Google Ads and Meta Ads, which parts can share a UI but need separate provider logic, and which workflows must remain provider-specific.</w:t>
      </w:r>
    </w:p>
    <w:p>
      <w:pPr>
        <w:pStyle w:val="Heading1"/>
      </w:pPr>
      <w:r>
        <w:t>1. Recommended architecture principle</w:t>
      </w:r>
    </w:p>
    <w:p>
      <w:r>
        <w:rPr>
          <w:b/>
        </w:rPr>
        <w:t xml:space="preserve">One product experience, a shared platform core, and separate provider adapters. </w:t>
      </w:r>
      <w:r>
        <w:t>Do not build two complete applications, and do not force Google and Meta into one identical API model. Use common screens and normalized concepts where the user task is the same, while keeping authorization, API requests, validation, capabilities, and provider-specific fields separate.</w:t>
      </w:r>
    </w:p>
    <w:tbl>
      <w:tblPr>
        <w:tblW w:type="auto" w:w="0"/>
        <w:jc w:val="center"/>
        <w:tblLayout w:type="autofit"/>
        <w:tblLook w:firstColumn="1" w:firstRow="1" w:lastColumn="0" w:lastRow="0" w:noHBand="0" w:noVBand="1" w:val="04A0"/>
      </w:tblPr>
      <w:tblGrid>
        <w:gridCol w:w="10224"/>
      </w:tblGrid>
      <w:tr>
        <w:tc>
          <w:tcPr>
            <w:tcW w:type="dxa" w:w="10224"/>
            <w:vAlign w:val="center"/>
            <w:shd w:fill="17365D"/>
            <w:tcMar>
              <w:top w:w="100" w:type="dxa"/>
              <w:start w:w="120" w:type="dxa"/>
              <w:bottom w:w="100" w:type="dxa"/>
              <w:end w:w="120" w:type="dxa"/>
            </w:tcMar>
          </w:tcPr>
          <w:p>
            <w:pPr>
              <w:jc w:val="center"/>
            </w:pPr>
            <w:r/>
            <w:r>
              <w:rPr>
                <w:b/>
                <w:color w:val="FFFFFF"/>
                <w:sz w:val="18"/>
              </w:rPr>
              <w:t>COMMON PRODUCT UI</w:t>
              <w:br/>
            </w:r>
            <w:r>
              <w:rPr>
                <w:color w:val="FFFFFF"/>
                <w:sz w:val="17"/>
              </w:rPr>
              <w:t>Workspace • Clients • Connections • Dashboard • Campaign list • Reports • Billing overview</w:t>
            </w:r>
          </w:p>
        </w:tc>
      </w:tr>
      <w:tr>
        <w:tc>
          <w:tcPr>
            <w:tcW w:type="dxa" w:w="10224"/>
            <w:vAlign w:val="center"/>
            <w:shd w:fill="D9E8F5"/>
            <w:tcMar>
              <w:top w:w="100" w:type="dxa"/>
              <w:start w:w="120" w:type="dxa"/>
              <w:bottom w:w="100" w:type="dxa"/>
              <w:end w:w="120" w:type="dxa"/>
            </w:tcMar>
          </w:tcPr>
          <w:p>
            <w:pPr>
              <w:jc w:val="center"/>
            </w:pPr>
            <w:r/>
            <w:r>
              <w:rPr>
                <w:b/>
                <w:sz w:val="18"/>
              </w:rPr>
              <w:t>SHARED PLATFORM SERVICES</w:t>
              <w:br/>
            </w:r>
            <w:r>
              <w:rPr>
                <w:sz w:val="17"/>
              </w:rPr>
              <w:t>Authentication • Workspace permissions • Client mapping • Database • Audit logs • Job queue • Secrets management</w:t>
            </w:r>
          </w:p>
        </w:tc>
      </w:tr>
      <w:tr>
        <w:tc>
          <w:tcPr>
            <w:tcW w:type="dxa" w:w="10224"/>
            <w:vAlign w:val="center"/>
            <w:shd w:fill="E5F0E6"/>
            <w:tcMar>
              <w:top w:w="100" w:type="dxa"/>
              <w:start w:w="120" w:type="dxa"/>
              <w:bottom w:w="100" w:type="dxa"/>
              <w:end w:w="120" w:type="dxa"/>
            </w:tcMar>
          </w:tcPr>
          <w:p>
            <w:pPr>
              <w:jc w:val="center"/>
            </w:pPr>
            <w:r/>
            <w:r>
              <w:rPr>
                <w:b/>
                <w:sz w:val="18"/>
              </w:rPr>
              <w:t>COMMON DOMAIN / NORMALIZATION LAYER</w:t>
              <w:br/>
            </w:r>
            <w:r>
              <w:rPr>
                <w:sz w:val="17"/>
              </w:rPr>
              <w:t>Common campaign and metric concepts • Currency/date handling • Capability flags • Partial-result handling</w:t>
            </w:r>
          </w:p>
        </w:tc>
      </w:tr>
      <w:tr>
        <w:tc>
          <w:tcPr>
            <w:tcW w:type="dxa" w:w="10224"/>
            <w:vAlign w:val="center"/>
            <w:shd w:fill="FCE8D5"/>
            <w:tcMar>
              <w:top w:w="100" w:type="dxa"/>
              <w:start w:w="120" w:type="dxa"/>
              <w:bottom w:w="100" w:type="dxa"/>
              <w:end w:w="120" w:type="dxa"/>
            </w:tcMar>
          </w:tcPr>
          <w:p>
            <w:pPr>
              <w:jc w:val="center"/>
            </w:pPr>
            <w:r/>
            <w:r>
              <w:rPr>
                <w:b/>
                <w:sz w:val="18"/>
              </w:rPr>
              <w:t>PROVIDER ADAPTERS — KEEP SEPARATE</w:t>
              <w:br/>
            </w:r>
            <w:r>
              <w:rPr>
                <w:sz w:val="17"/>
              </w:rPr>
              <w:t>Google Ads adapter  |  Meta Marketing API adapter</w:t>
            </w:r>
          </w:p>
        </w:tc>
      </w:tr>
      <w:tr>
        <w:tc>
          <w:tcPr>
            <w:tcW w:type="dxa" w:w="10224"/>
            <w:vAlign w:val="center"/>
            <w:shd w:fill="ECE6F7"/>
            <w:tcMar>
              <w:top w:w="100" w:type="dxa"/>
              <w:start w:w="120" w:type="dxa"/>
              <w:bottom w:w="100" w:type="dxa"/>
              <w:end w:w="120" w:type="dxa"/>
            </w:tcMar>
          </w:tcPr>
          <w:p>
            <w:pPr>
              <w:jc w:val="center"/>
            </w:pPr>
            <w:r/>
            <w:r>
              <w:rPr>
                <w:b/>
                <w:sz w:val="18"/>
              </w:rPr>
              <w:t>EXTERNAL PLATFORMS</w:t>
              <w:br/>
            </w:r>
            <w:r>
              <w:rPr>
                <w:sz w:val="17"/>
              </w:rPr>
              <w:t>Google Ads API + Manager Account relationships  |  Meta Marketing API + Business Portfolio / asset permissions</w:t>
            </w:r>
          </w:p>
        </w:tc>
      </w:tr>
    </w:tbl>
    <w:p>
      <w:pPr>
        <w:pStyle w:val="Heading1"/>
      </w:pPr>
      <w:r>
        <w:t>2. Feature-by-feature implementation split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b/>
                <w:color w:val="FFFFFF"/>
                <w:sz w:val="16"/>
              </w:rPr>
              <w:t>Feature / area</w:t>
            </w:r>
          </w:p>
        </w:tc>
        <w:tc>
          <w:tcPr>
            <w:tcW w:type="dxa" w:w="2556"/>
            <w:shd w:fill="17365D"/>
          </w:tcPr>
          <w:p>
            <w:r>
              <w:rPr>
                <w:b/>
                <w:color w:val="FFFFFF"/>
                <w:sz w:val="16"/>
              </w:rPr>
              <w:t>What is shared</w:t>
            </w:r>
          </w:p>
        </w:tc>
        <w:tc>
          <w:tcPr>
            <w:tcW w:type="dxa" w:w="2556"/>
            <w:shd w:fill="17365D"/>
          </w:tcPr>
          <w:p>
            <w:r>
              <w:rPr>
                <w:b/>
                <w:color w:val="FFFFFF"/>
                <w:sz w:val="16"/>
              </w:rPr>
              <w:t>What stays provider-specific</w:t>
            </w:r>
          </w:p>
        </w:tc>
        <w:tc>
          <w:tcPr>
            <w:tcW w:type="dxa" w:w="2556"/>
            <w:shd w:fill="17365D"/>
          </w:tcPr>
          <w:p>
            <w:r>
              <w:rPr>
                <w:b/>
                <w:color w:val="FFFFFF"/>
                <w:sz w:val="16"/>
              </w:rPr>
              <w:t>Recommended pattern</w:t>
            </w:r>
          </w:p>
        </w:tc>
      </w:tr>
      <w:tr>
        <w:tc>
          <w:tcPr>
            <w:tcW w:type="dxa" w:w="2556"/>
            <w:vAlign w:val="center"/>
          </w:tcPr>
          <w:p>
            <w:pPr>
              <w:spacing w:after="40"/>
            </w:pPr>
            <w:r>
              <w:rPr>
                <w:sz w:val="14"/>
              </w:rPr>
              <w:t>Login, signup &amp; sessions</w:t>
            </w:r>
          </w:p>
        </w:tc>
        <w:tc>
          <w:tcPr>
            <w:tcW w:type="dxa" w:w="2556"/>
            <w:vAlign w:val="center"/>
          </w:tcPr>
          <w:p>
            <w:pPr>
              <w:spacing w:after="40"/>
            </w:pPr>
            <w:r>
              <w:rPr>
                <w:sz w:val="14"/>
              </w:rPr>
              <w:t>Identity, sessions, password reset, verification</w:t>
            </w:r>
          </w:p>
        </w:tc>
        <w:tc>
          <w:tcPr>
            <w:tcW w:type="dxa" w:w="2556"/>
            <w:vAlign w:val="center"/>
          </w:tcPr>
          <w:p>
            <w:pPr>
              <w:spacing w:after="40"/>
            </w:pPr>
            <w:r>
              <w:rPr>
                <w:sz w:val="14"/>
              </w:rPr>
              <w:t>Only optional external sign-in provider configuration</w:t>
            </w:r>
          </w:p>
        </w:tc>
        <w:tc>
          <w:tcPr>
            <w:tcW w:type="dxa" w:w="2556"/>
            <w:vAlign w:val="center"/>
          </w:tcPr>
          <w:p>
            <w:pPr>
              <w:spacing w:after="40"/>
            </w:pPr>
            <w:r>
              <w:rPr>
                <w:sz w:val="14"/>
              </w:rPr>
              <w:t>Common UI + common backend</w:t>
            </w:r>
          </w:p>
        </w:tc>
      </w:tr>
      <w:tr>
        <w:tc>
          <w:tcPr>
            <w:tcW w:type="dxa" w:w="2556"/>
            <w:vAlign w:val="center"/>
            <w:shd w:fill="F3F6F9"/>
          </w:tcPr>
          <w:p>
            <w:pPr>
              <w:spacing w:after="40"/>
            </w:pPr>
            <w:r>
              <w:rPr>
                <w:sz w:val="14"/>
              </w:rPr>
              <w:t>Workspace &amp; team</w:t>
            </w:r>
          </w:p>
        </w:tc>
        <w:tc>
          <w:tcPr>
            <w:tcW w:type="dxa" w:w="2556"/>
            <w:vAlign w:val="center"/>
            <w:shd w:fill="F3F6F9"/>
          </w:tcPr>
          <w:p>
            <w:pPr>
              <w:spacing w:after="40"/>
            </w:pPr>
            <w:r>
              <w:rPr>
                <w:sz w:val="14"/>
              </w:rPr>
              <w:t>Workspace, membership, roles, invitations, audit log</w:t>
            </w:r>
          </w:p>
        </w:tc>
        <w:tc>
          <w:tcPr>
            <w:tcW w:type="dxa" w:w="2556"/>
            <w:vAlign w:val="center"/>
            <w:shd w:fill="F3F6F9"/>
          </w:tcPr>
          <w:p>
            <w:pPr>
              <w:spacing w:after="40"/>
            </w:pPr>
            <w:r>
              <w:rPr>
                <w:sz w:val="14"/>
              </w:rPr>
              <w:t>No ad-platform-specific logic here</w:t>
            </w:r>
          </w:p>
        </w:tc>
        <w:tc>
          <w:tcPr>
            <w:tcW w:type="dxa" w:w="2556"/>
            <w:vAlign w:val="center"/>
            <w:shd w:fill="F3F6F9"/>
          </w:tcPr>
          <w:p>
            <w:pPr>
              <w:spacing w:after="40"/>
            </w:pPr>
            <w:r>
              <w:rPr>
                <w:sz w:val="14"/>
              </w:rPr>
              <w:t>Common UI + common backend</w:t>
            </w:r>
          </w:p>
        </w:tc>
      </w:tr>
      <w:tr>
        <w:tc>
          <w:tcPr>
            <w:tcW w:type="dxa" w:w="2556"/>
            <w:vAlign w:val="center"/>
          </w:tcPr>
          <w:p>
            <w:pPr>
              <w:spacing w:after="40"/>
            </w:pPr>
            <w:r>
              <w:rPr>
                <w:sz w:val="14"/>
              </w:rPr>
              <w:t>Clients</w:t>
            </w:r>
          </w:p>
        </w:tc>
        <w:tc>
          <w:tcPr>
            <w:tcW w:type="dxa" w:w="2556"/>
            <w:vAlign w:val="center"/>
          </w:tcPr>
          <w:p>
            <w:pPr>
              <w:spacing w:after="40"/>
            </w:pPr>
            <w:r>
              <w:rPr>
                <w:sz w:val="14"/>
              </w:rPr>
              <w:t>Client records, ownership/mapping, team access scopes</w:t>
            </w:r>
          </w:p>
        </w:tc>
        <w:tc>
          <w:tcPr>
            <w:tcW w:type="dxa" w:w="2556"/>
            <w:vAlign w:val="center"/>
          </w:tcPr>
          <w:p>
            <w:pPr>
              <w:spacing w:after="40"/>
            </w:pPr>
            <w:r>
              <w:rPr>
                <w:sz w:val="14"/>
              </w:rPr>
              <w:t>Provider account IDs and relationships are stored as provider-linked records</w:t>
            </w:r>
          </w:p>
        </w:tc>
        <w:tc>
          <w:tcPr>
            <w:tcW w:type="dxa" w:w="2556"/>
            <w:vAlign w:val="center"/>
          </w:tcPr>
          <w:p>
            <w:pPr>
              <w:spacing w:after="40"/>
            </w:pPr>
            <w:r>
              <w:rPr>
                <w:sz w:val="14"/>
              </w:rPr>
              <w:t>Common UI + common backend</w:t>
            </w:r>
          </w:p>
        </w:tc>
      </w:tr>
      <w:tr>
        <w:tc>
          <w:tcPr>
            <w:tcW w:type="dxa" w:w="2556"/>
            <w:vAlign w:val="center"/>
            <w:shd w:fill="F3F6F9"/>
          </w:tcPr>
          <w:p>
            <w:pPr>
              <w:spacing w:after="40"/>
            </w:pPr>
            <w:r>
              <w:rPr>
                <w:sz w:val="14"/>
              </w:rPr>
              <w:t>Connect ad accounts</w:t>
            </w:r>
          </w:p>
        </w:tc>
        <w:tc>
          <w:tcPr>
            <w:tcW w:type="dxa" w:w="2556"/>
            <w:vAlign w:val="center"/>
            <w:shd w:fill="F3F6F9"/>
          </w:tcPr>
          <w:p>
            <w:pPr>
              <w:spacing w:after="40"/>
            </w:pPr>
            <w:r>
              <w:rPr>
                <w:sz w:val="14"/>
              </w:rPr>
              <w:t>Connections page, status display, reconnect/disconnect UX, account picker shell</w:t>
            </w:r>
          </w:p>
        </w:tc>
        <w:tc>
          <w:tcPr>
            <w:tcW w:type="dxa" w:w="2556"/>
            <w:vAlign w:val="center"/>
            <w:shd w:fill="F3F6F9"/>
          </w:tcPr>
          <w:p>
            <w:pPr>
              <w:spacing w:after="40"/>
            </w:pPr>
            <w:r>
              <w:rPr>
                <w:sz w:val="14"/>
              </w:rPr>
              <w:t>Google OAuth, developer/API configuration, Manager Account hierarchy; Meta OAuth, permissions, Business Portfolio/asset access, token lifecycle</w:t>
            </w:r>
          </w:p>
        </w:tc>
        <w:tc>
          <w:tcPr>
            <w:tcW w:type="dxa" w:w="2556"/>
            <w:vAlign w:val="center"/>
            <w:shd w:fill="F3F6F9"/>
          </w:tcPr>
          <w:p>
            <w:pPr>
              <w:spacing w:after="40"/>
            </w:pPr>
            <w:r>
              <w:rPr>
                <w:sz w:val="14"/>
              </w:rPr>
              <w:t>Common UI + separate provider services</w:t>
            </w:r>
          </w:p>
        </w:tc>
      </w:tr>
      <w:tr>
        <w:tc>
          <w:tcPr>
            <w:tcW w:type="dxa" w:w="2556"/>
            <w:vAlign w:val="center"/>
          </w:tcPr>
          <w:p>
            <w:pPr>
              <w:spacing w:after="40"/>
            </w:pPr>
            <w:r>
              <w:rPr>
                <w:sz w:val="14"/>
              </w:rPr>
              <w:t>Account discovery &amp; assignment</w:t>
            </w:r>
          </w:p>
        </w:tc>
        <w:tc>
          <w:tcPr>
            <w:tcW w:type="dxa" w:w="2556"/>
            <w:vAlign w:val="center"/>
          </w:tcPr>
          <w:p>
            <w:pPr>
              <w:spacing w:after="40"/>
            </w:pPr>
            <w:r>
              <w:rPr>
                <w:sz w:val="14"/>
              </w:rPr>
              <w:t>Selection UI, client assignment, connection metadata</w:t>
            </w:r>
          </w:p>
        </w:tc>
        <w:tc>
          <w:tcPr>
            <w:tcW w:type="dxa" w:w="2556"/>
            <w:vAlign w:val="center"/>
          </w:tcPr>
          <w:p>
            <w:pPr>
              <w:spacing w:after="40"/>
            </w:pPr>
            <w:r>
              <w:rPr>
                <w:sz w:val="14"/>
              </w:rPr>
              <w:t>Google accessible customer discovery vs Meta accessible ad-account/asset discovery</w:t>
            </w:r>
          </w:p>
        </w:tc>
        <w:tc>
          <w:tcPr>
            <w:tcW w:type="dxa" w:w="2556"/>
            <w:vAlign w:val="center"/>
          </w:tcPr>
          <w:p>
            <w:pPr>
              <w:spacing w:after="40"/>
            </w:pPr>
            <w:r>
              <w:rPr>
                <w:sz w:val="14"/>
              </w:rPr>
              <w:t>Common UI + separate discovery adapters</w:t>
            </w:r>
          </w:p>
        </w:tc>
      </w:tr>
      <w:tr>
        <w:tc>
          <w:tcPr>
            <w:tcW w:type="dxa" w:w="2556"/>
            <w:vAlign w:val="center"/>
            <w:shd w:fill="F3F6F9"/>
          </w:tcPr>
          <w:p>
            <w:pPr>
              <w:spacing w:after="40"/>
            </w:pPr>
            <w:r>
              <w:rPr>
                <w:sz w:val="14"/>
              </w:rPr>
              <w:t>Dashboard &amp; analytics</w:t>
            </w:r>
          </w:p>
        </w:tc>
        <w:tc>
          <w:tcPr>
            <w:tcW w:type="dxa" w:w="2556"/>
            <w:vAlign w:val="center"/>
            <w:shd w:fill="F3F6F9"/>
          </w:tcPr>
          <w:p>
            <w:pPr>
              <w:spacing w:after="40"/>
            </w:pPr>
            <w:r>
              <w:rPr>
                <w:sz w:val="14"/>
              </w:rPr>
              <w:t>Cards, charts, filters, date ranges, normalized metric display, export entry points</w:t>
            </w:r>
          </w:p>
        </w:tc>
        <w:tc>
          <w:tcPr>
            <w:tcW w:type="dxa" w:w="2556"/>
            <w:vAlign w:val="center"/>
            <w:shd w:fill="F3F6F9"/>
          </w:tcPr>
          <w:p>
            <w:pPr>
              <w:spacing w:after="40"/>
            </w:pPr>
            <w:r>
              <w:rPr>
                <w:sz w:val="14"/>
              </w:rPr>
              <w:t>Provider queries, metric availability/definitions, attribution, breakdowns, freshness and limitations</w:t>
            </w:r>
          </w:p>
        </w:tc>
        <w:tc>
          <w:tcPr>
            <w:tcW w:type="dxa" w:w="2556"/>
            <w:vAlign w:val="center"/>
            <w:shd w:fill="F3F6F9"/>
          </w:tcPr>
          <w:p>
            <w:pPr>
              <w:spacing w:after="40"/>
            </w:pPr>
            <w:r>
              <w:rPr>
                <w:sz w:val="14"/>
              </w:rPr>
              <w:t>Common UI + provider adapters + normalization</w:t>
            </w:r>
          </w:p>
        </w:tc>
      </w:tr>
      <w:tr>
        <w:tc>
          <w:tcPr>
            <w:tcW w:type="dxa" w:w="2556"/>
            <w:vAlign w:val="center"/>
          </w:tcPr>
          <w:p>
            <w:pPr>
              <w:spacing w:after="40"/>
            </w:pPr>
            <w:r>
              <w:rPr>
                <w:sz w:val="14"/>
              </w:rPr>
              <w:t>Campaign list &amp; actions</w:t>
            </w:r>
          </w:p>
        </w:tc>
        <w:tc>
          <w:tcPr>
            <w:tcW w:type="dxa" w:w="2556"/>
            <w:vAlign w:val="center"/>
          </w:tcPr>
          <w:p>
            <w:pPr>
              <w:spacing w:after="40"/>
            </w:pPr>
            <w:r>
              <w:rPr>
                <w:sz w:val="14"/>
              </w:rPr>
              <w:t>Combined table, filters, search, status controls, action confirmation, bulk-action UX</w:t>
            </w:r>
          </w:p>
        </w:tc>
        <w:tc>
          <w:tcPr>
            <w:tcW w:type="dxa" w:w="2556"/>
            <w:vAlign w:val="center"/>
          </w:tcPr>
          <w:p>
            <w:pPr>
              <w:spacing w:after="40"/>
            </w:pPr>
            <w:r>
              <w:rPr>
                <w:sz w:val="14"/>
              </w:rPr>
              <w:t>Campaign fields, statuses, budget/bidding constraints, API mutations and error handling</w:t>
            </w:r>
          </w:p>
        </w:tc>
        <w:tc>
          <w:tcPr>
            <w:tcW w:type="dxa" w:w="2556"/>
            <w:vAlign w:val="center"/>
          </w:tcPr>
          <w:p>
            <w:pPr>
              <w:spacing w:after="40"/>
            </w:pPr>
            <w:r>
              <w:rPr>
                <w:sz w:val="14"/>
              </w:rPr>
              <w:t>Common UI + separate provider logic</w:t>
            </w:r>
          </w:p>
        </w:tc>
      </w:tr>
      <w:tr>
        <w:tc>
          <w:tcPr>
            <w:tcW w:type="dxa" w:w="2556"/>
            <w:vAlign w:val="center"/>
            <w:shd w:fill="F3F6F9"/>
          </w:tcPr>
          <w:p>
            <w:pPr>
              <w:spacing w:after="40"/>
            </w:pPr>
            <w:r>
              <w:rPr>
                <w:sz w:val="14"/>
              </w:rPr>
              <w:t>Campaign creation/editing</w:t>
            </w:r>
          </w:p>
        </w:tc>
        <w:tc>
          <w:tcPr>
            <w:tcW w:type="dxa" w:w="2556"/>
            <w:vAlign w:val="center"/>
            <w:shd w:fill="F3F6F9"/>
          </w:tcPr>
          <w:p>
            <w:pPr>
              <w:spacing w:after="40"/>
            </w:pPr>
            <w:r>
              <w:rPr>
                <w:sz w:val="14"/>
              </w:rPr>
              <w:t>Wizard shell, drafts, validation framework, review/confirm step</w:t>
            </w:r>
          </w:p>
        </w:tc>
        <w:tc>
          <w:tcPr>
            <w:tcW w:type="dxa" w:w="2556"/>
            <w:vAlign w:val="center"/>
            <w:shd w:fill="F3F6F9"/>
          </w:tcPr>
          <w:p>
            <w:pPr>
              <w:spacing w:after="40"/>
            </w:pPr>
            <w:r>
              <w:rPr>
                <w:sz w:val="14"/>
              </w:rPr>
              <w:t>Objective models, campaign types, required fields, placements, bidding and optimization options</w:t>
            </w:r>
          </w:p>
        </w:tc>
        <w:tc>
          <w:tcPr>
            <w:tcW w:type="dxa" w:w="2556"/>
            <w:vAlign w:val="center"/>
            <w:shd w:fill="F3F6F9"/>
          </w:tcPr>
          <w:p>
            <w:pPr>
              <w:spacing w:after="40"/>
            </w:pPr>
            <w:r>
              <w:rPr>
                <w:sz w:val="14"/>
              </w:rPr>
              <w:t>Shared wizard + provider-specific steps</w:t>
            </w:r>
          </w:p>
        </w:tc>
      </w:tr>
      <w:tr>
        <w:tc>
          <w:tcPr>
            <w:tcW w:type="dxa" w:w="2556"/>
            <w:vAlign w:val="center"/>
          </w:tcPr>
          <w:p>
            <w:pPr>
              <w:spacing w:after="40"/>
            </w:pPr>
            <w:r>
              <w:rPr>
                <w:sz w:val="14"/>
              </w:rPr>
              <w:t>Ad groups / ad sets</w:t>
            </w:r>
          </w:p>
        </w:tc>
        <w:tc>
          <w:tcPr>
            <w:tcW w:type="dxa" w:w="2556"/>
            <w:vAlign w:val="center"/>
          </w:tcPr>
          <w:p>
            <w:pPr>
              <w:spacing w:after="40"/>
            </w:pPr>
            <w:r>
              <w:rPr>
                <w:sz w:val="14"/>
              </w:rPr>
              <w:t>Navigation, list patterns, shared performance columns where meaningful</w:t>
            </w:r>
          </w:p>
        </w:tc>
        <w:tc>
          <w:tcPr>
            <w:tcW w:type="dxa" w:w="2556"/>
            <w:vAlign w:val="center"/>
          </w:tcPr>
          <w:p>
            <w:pPr>
              <w:spacing w:after="40"/>
            </w:pPr>
            <w:r>
              <w:rPr>
                <w:sz w:val="14"/>
              </w:rPr>
              <w:t>Google ad-group structure vs Meta ad-set structure, targeting and delivery fields</w:t>
            </w:r>
          </w:p>
        </w:tc>
        <w:tc>
          <w:tcPr>
            <w:tcW w:type="dxa" w:w="2556"/>
            <w:vAlign w:val="center"/>
          </w:tcPr>
          <w:p>
            <w:pPr>
              <w:spacing w:after="40"/>
            </w:pPr>
            <w:r>
              <w:rPr>
                <w:sz w:val="14"/>
              </w:rPr>
              <w:t>Shared navigation; separate editors and services</w:t>
            </w:r>
          </w:p>
        </w:tc>
      </w:tr>
      <w:tr>
        <w:tc>
          <w:tcPr>
            <w:tcW w:type="dxa" w:w="2556"/>
            <w:vAlign w:val="center"/>
            <w:shd w:fill="F3F6F9"/>
          </w:tcPr>
          <w:p>
            <w:pPr>
              <w:spacing w:after="40"/>
            </w:pPr>
            <w:r>
              <w:rPr>
                <w:sz w:val="14"/>
              </w:rPr>
              <w:t>Ads &amp; creatives</w:t>
            </w:r>
          </w:p>
        </w:tc>
        <w:tc>
          <w:tcPr>
            <w:tcW w:type="dxa" w:w="2556"/>
            <w:vAlign w:val="center"/>
            <w:shd w:fill="F3F6F9"/>
          </w:tcPr>
          <w:p>
            <w:pPr>
              <w:spacing w:after="40"/>
            </w:pPr>
            <w:r>
              <w:rPr>
                <w:sz w:val="14"/>
              </w:rPr>
              <w:t>Asset library shell, previews, approval/status display, common metadata</w:t>
            </w:r>
          </w:p>
        </w:tc>
        <w:tc>
          <w:tcPr>
            <w:tcW w:type="dxa" w:w="2556"/>
            <w:vAlign w:val="center"/>
            <w:shd w:fill="F3F6F9"/>
          </w:tcPr>
          <w:p>
            <w:pPr>
              <w:spacing w:after="40"/>
            </w:pPr>
            <w:r>
              <w:rPr>
                <w:sz w:val="14"/>
              </w:rPr>
              <w:t>Creative formats, specs, placements, asset upload/publishing and review rules</w:t>
            </w:r>
          </w:p>
        </w:tc>
        <w:tc>
          <w:tcPr>
            <w:tcW w:type="dxa" w:w="2556"/>
            <w:vAlign w:val="center"/>
            <w:shd w:fill="F3F6F9"/>
          </w:tcPr>
          <w:p>
            <w:pPr>
              <w:spacing w:after="40"/>
            </w:pPr>
            <w:r>
              <w:rPr>
                <w:sz w:val="14"/>
              </w:rPr>
              <w:t>Shared library; provider-specific creation/editing</w:t>
            </w:r>
          </w:p>
        </w:tc>
      </w:tr>
      <w:tr>
        <w:tc>
          <w:tcPr>
            <w:tcW w:type="dxa" w:w="2556"/>
            <w:vAlign w:val="center"/>
          </w:tcPr>
          <w:p>
            <w:pPr>
              <w:spacing w:after="40"/>
            </w:pPr>
            <w:r>
              <w:rPr>
                <w:sz w:val="14"/>
              </w:rPr>
              <w:t>Audiences &amp; targeting</w:t>
            </w:r>
          </w:p>
        </w:tc>
        <w:tc>
          <w:tcPr>
            <w:tcW w:type="dxa" w:w="2556"/>
            <w:vAlign w:val="center"/>
          </w:tcPr>
          <w:p>
            <w:pPr>
              <w:spacing w:after="40"/>
            </w:pPr>
            <w:r>
              <w:rPr>
                <w:sz w:val="14"/>
              </w:rPr>
              <w:t>Audience section, saved lists and common targeting concepts where applicable</w:t>
            </w:r>
          </w:p>
        </w:tc>
        <w:tc>
          <w:tcPr>
            <w:tcW w:type="dxa" w:w="2556"/>
            <w:vAlign w:val="center"/>
          </w:tcPr>
          <w:p>
            <w:pPr>
              <w:spacing w:after="40"/>
            </w:pPr>
            <w:r>
              <w:rPr>
                <w:sz w:val="14"/>
              </w:rPr>
              <w:t>Eligibility, audience types, targeting fields, restrictions and API behavior</w:t>
            </w:r>
          </w:p>
        </w:tc>
        <w:tc>
          <w:tcPr>
            <w:tcW w:type="dxa" w:w="2556"/>
            <w:vAlign w:val="center"/>
          </w:tcPr>
          <w:p>
            <w:pPr>
              <w:spacing w:after="40"/>
            </w:pPr>
            <w:r>
              <w:rPr>
                <w:sz w:val="14"/>
              </w:rPr>
              <w:t>Shared section; separate controls and adapters</w:t>
            </w:r>
          </w:p>
        </w:tc>
      </w:tr>
      <w:tr>
        <w:tc>
          <w:tcPr>
            <w:tcW w:type="dxa" w:w="2556"/>
            <w:vAlign w:val="center"/>
            <w:shd w:fill="F3F6F9"/>
          </w:tcPr>
          <w:p>
            <w:pPr>
              <w:spacing w:after="40"/>
            </w:pPr>
            <w:r>
              <w:rPr>
                <w:sz w:val="14"/>
              </w:rPr>
              <w:t>Conversions / tracking</w:t>
            </w:r>
          </w:p>
        </w:tc>
        <w:tc>
          <w:tcPr>
            <w:tcW w:type="dxa" w:w="2556"/>
            <w:vAlign w:val="center"/>
            <w:shd w:fill="F3F6F9"/>
          </w:tcPr>
          <w:p>
            <w:pPr>
              <w:spacing w:after="40"/>
            </w:pPr>
            <w:r>
              <w:rPr>
                <w:sz w:val="14"/>
              </w:rPr>
              <w:t>Unified conversion overview, event mapping, diagnostics and reporting presentation</w:t>
            </w:r>
          </w:p>
        </w:tc>
        <w:tc>
          <w:tcPr>
            <w:tcW w:type="dxa" w:w="2556"/>
            <w:vAlign w:val="center"/>
            <w:shd w:fill="F3F6F9"/>
          </w:tcPr>
          <w:p>
            <w:pPr>
              <w:spacing w:after="40"/>
            </w:pPr>
            <w:r>
              <w:rPr>
                <w:sz w:val="14"/>
              </w:rPr>
              <w:t>Google conversion actions/tags/imports vs Meta Pixel/Conversions API/events and permissions</w:t>
            </w:r>
          </w:p>
        </w:tc>
        <w:tc>
          <w:tcPr>
            <w:tcW w:type="dxa" w:w="2556"/>
            <w:vAlign w:val="center"/>
            <w:shd w:fill="F3F6F9"/>
          </w:tcPr>
          <w:p>
            <w:pPr>
              <w:spacing w:after="40"/>
            </w:pPr>
            <w:r>
              <w:rPr>
                <w:sz w:val="14"/>
              </w:rPr>
              <w:t>Common overview; separate setup and implementation flows</w:t>
            </w:r>
          </w:p>
        </w:tc>
      </w:tr>
      <w:tr>
        <w:tc>
          <w:tcPr>
            <w:tcW w:type="dxa" w:w="2556"/>
            <w:vAlign w:val="center"/>
          </w:tcPr>
          <w:p>
            <w:pPr>
              <w:spacing w:after="40"/>
            </w:pPr>
            <w:r>
              <w:rPr>
                <w:sz w:val="14"/>
              </w:rPr>
              <w:t>Reports &amp; exports</w:t>
            </w:r>
          </w:p>
        </w:tc>
        <w:tc>
          <w:tcPr>
            <w:tcW w:type="dxa" w:w="2556"/>
            <w:vAlign w:val="center"/>
          </w:tcPr>
          <w:p>
            <w:pPr>
              <w:spacing w:after="40"/>
            </w:pPr>
            <w:r>
              <w:rPr>
                <w:sz w:val="14"/>
              </w:rPr>
              <w:t>Report builder, date filters, CSV/export format, scheduled-report framework</w:t>
            </w:r>
          </w:p>
        </w:tc>
        <w:tc>
          <w:tcPr>
            <w:tcW w:type="dxa" w:w="2556"/>
            <w:vAlign w:val="center"/>
          </w:tcPr>
          <w:p>
            <w:pPr>
              <w:spacing w:after="40"/>
            </w:pPr>
            <w:r>
              <w:rPr>
                <w:sz w:val="14"/>
              </w:rPr>
              <w:t>Provider query syntax, report fields, attribution windows and unavailable dimensions</w:t>
            </w:r>
          </w:p>
        </w:tc>
        <w:tc>
          <w:tcPr>
            <w:tcW w:type="dxa" w:w="2556"/>
            <w:vAlign w:val="center"/>
          </w:tcPr>
          <w:p>
            <w:pPr>
              <w:spacing w:after="40"/>
            </w:pPr>
            <w:r>
              <w:rPr>
                <w:sz w:val="14"/>
              </w:rPr>
              <w:t>Common UI + provider adapters</w:t>
            </w:r>
          </w:p>
        </w:tc>
      </w:tr>
      <w:tr>
        <w:tc>
          <w:tcPr>
            <w:tcW w:type="dxa" w:w="2556"/>
            <w:vAlign w:val="center"/>
            <w:shd w:fill="F3F6F9"/>
          </w:tcPr>
          <w:p>
            <w:pPr>
              <w:spacing w:after="40"/>
            </w:pPr>
            <w:r>
              <w:rPr>
                <w:sz w:val="14"/>
              </w:rPr>
              <w:t>Billing</w:t>
            </w:r>
          </w:p>
        </w:tc>
        <w:tc>
          <w:tcPr>
            <w:tcW w:type="dxa" w:w="2556"/>
            <w:vAlign w:val="center"/>
            <w:shd w:fill="F3F6F9"/>
          </w:tcPr>
          <w:p>
            <w:pPr>
              <w:spacing w:after="40"/>
            </w:pPr>
            <w:r>
              <w:rPr>
                <w:sz w:val="14"/>
              </w:rPr>
              <w:t>SaaS subscription, invoices, plan limits, payment status</w:t>
            </w:r>
          </w:p>
        </w:tc>
        <w:tc>
          <w:tcPr>
            <w:tcW w:type="dxa" w:w="2556"/>
            <w:vAlign w:val="center"/>
            <w:shd w:fill="F3F6F9"/>
          </w:tcPr>
          <w:p>
            <w:pPr>
              <w:spacing w:after="40"/>
            </w:pPr>
            <w:r>
              <w:rPr>
                <w:sz w:val="14"/>
              </w:rPr>
              <w:t>Google/Meta ad spend, billing account data, payment methods and provider-specific availability</w:t>
            </w:r>
          </w:p>
        </w:tc>
        <w:tc>
          <w:tcPr>
            <w:tcW w:type="dxa" w:w="2556"/>
            <w:vAlign w:val="center"/>
            <w:shd w:fill="F3F6F9"/>
          </w:tcPr>
          <w:p>
            <w:pPr>
              <w:spacing w:after="40"/>
            </w:pPr>
            <w:r>
              <w:rPr>
                <w:sz w:val="14"/>
              </w:rPr>
              <w:t>Separate billing domains; unified navigation/overview only</w:t>
            </w:r>
          </w:p>
        </w:tc>
      </w:tr>
      <w:tr>
        <w:tc>
          <w:tcPr>
            <w:tcW w:type="dxa" w:w="2556"/>
            <w:vAlign w:val="center"/>
          </w:tcPr>
          <w:p>
            <w:pPr>
              <w:spacing w:after="40"/>
            </w:pPr>
            <w:r>
              <w:rPr>
                <w:sz w:val="14"/>
              </w:rPr>
              <w:t>Settings &amp; API health</w:t>
            </w:r>
          </w:p>
        </w:tc>
        <w:tc>
          <w:tcPr>
            <w:tcW w:type="dxa" w:w="2556"/>
            <w:vAlign w:val="center"/>
          </w:tcPr>
          <w:p>
            <w:pPr>
              <w:spacing w:after="40"/>
            </w:pPr>
            <w:r>
              <w:rPr>
                <w:sz w:val="14"/>
              </w:rPr>
              <w:t>Connection inventory, audit history, job status, user-friendly diagnostics</w:t>
            </w:r>
          </w:p>
        </w:tc>
        <w:tc>
          <w:tcPr>
            <w:tcW w:type="dxa" w:w="2556"/>
            <w:vAlign w:val="center"/>
          </w:tcPr>
          <w:p>
            <w:pPr>
              <w:spacing w:after="40"/>
            </w:pPr>
            <w:r>
              <w:rPr>
                <w:sz w:val="14"/>
              </w:rPr>
              <w:t>Provider-specific scopes, token errors, quotas, API versions and remediation instructions</w:t>
            </w:r>
          </w:p>
        </w:tc>
        <w:tc>
          <w:tcPr>
            <w:tcW w:type="dxa" w:w="2556"/>
            <w:vAlign w:val="center"/>
          </w:tcPr>
          <w:p>
            <w:pPr>
              <w:spacing w:after="40"/>
            </w:pPr>
            <w:r>
              <w:rPr>
                <w:sz w:val="14"/>
              </w:rPr>
              <w:t>Common shell + provider-specific diagnostics</w:t>
            </w:r>
          </w:p>
        </w:tc>
      </w:tr>
    </w:tbl>
    <w:p>
      <w:pPr>
        <w:pStyle w:val="Heading1"/>
      </w:pPr>
      <w:r>
        <w:t>3. Practical examples</w:t>
      </w:r>
    </w:p>
    <w:p>
      <w:pPr>
        <w:pStyle w:val="ListBullet"/>
      </w:pPr>
      <w:r>
        <w:rPr>
          <w:b/>
        </w:rPr>
        <w:t xml:space="preserve">Connections — </w:t>
      </w:r>
      <w:r>
        <w:t>The user sees one Connections page. Clicking “Connect Google Ads” starts Google OAuth; clicking “Connect Meta Ads” starts Meta OAuth. The account discovery and permission checks differ.</w:t>
      </w:r>
    </w:p>
    <w:p>
      <w:pPr>
        <w:pStyle w:val="ListBullet"/>
      </w:pPr>
      <w:r>
        <w:rPr>
          <w:b/>
        </w:rPr>
        <w:t xml:space="preserve">Campaign list — </w:t>
      </w:r>
      <w:r>
        <w:t>One table can display campaigns from both providers, but actions must call the correct adapter. A field or action unsupported by one provider should be disabled or explained—not silently simulated.</w:t>
      </w:r>
    </w:p>
    <w:p>
      <w:pPr>
        <w:pStyle w:val="ListBullet"/>
      </w:pPr>
      <w:r>
        <w:rPr>
          <w:b/>
        </w:rPr>
        <w:t xml:space="preserve">Conversions — </w:t>
      </w:r>
      <w:r>
        <w:t>One overview can compare conversion results, but setup cannot be one identical flow: Google conversion actions/tagging/imports and Meta Pixel/Conversions API have different requirements.</w:t>
      </w:r>
    </w:p>
    <w:p>
      <w:pPr>
        <w:pStyle w:val="ListBullet"/>
      </w:pPr>
      <w:r>
        <w:rPr>
          <w:b/>
        </w:rPr>
        <w:t xml:space="preserve">Billing — </w:t>
      </w:r>
      <w:r>
        <w:t>Keep the SaaS subscription billing system distinct from the ad platforms’ own advertising charges. A common billing page can link to separate provider-specific billing information when APIs and permissions allow.</w:t>
      </w:r>
    </w:p>
    <w:p>
      <w:pPr>
        <w:pStyle w:val="Heading1"/>
      </w:pPr>
      <w:r>
        <w:t>4. Non-negotiable design safeguards</w:t>
      </w:r>
    </w:p>
    <w:p>
      <w:pPr>
        <w:pStyle w:val="ListBullet"/>
      </w:pPr>
      <w:r>
        <w:t>Treat the workspace as the SaaS security boundary; do not share credentials across workspaces implicitly.</w:t>
      </w:r>
    </w:p>
    <w:p>
      <w:pPr>
        <w:pStyle w:val="ListBullet"/>
      </w:pPr>
      <w:r>
        <w:t>Encrypt provider tokens/secrets at rest, redact them from logs, and define refresh/revocation/reconnect handling.</w:t>
      </w:r>
    </w:p>
    <w:p>
      <w:pPr>
        <w:pStyle w:val="ListBullet"/>
      </w:pPr>
      <w:r>
        <w:t>Use explicit capability checks: an action is available only when the provider, account, user permissions and API support it.</w:t>
      </w:r>
    </w:p>
    <w:p>
      <w:pPr>
        <w:pStyle w:val="ListBullet"/>
      </w:pPr>
      <w:r>
        <w:t>Normalize shared metrics carefully; preserve provider, currency, attribution context, reporting date and freshness metadata.</w:t>
      </w:r>
    </w:p>
    <w:p>
      <w:pPr>
        <w:pStyle w:val="ListBullet"/>
      </w:pPr>
      <w:r>
        <w:t>For bulk actions, show per-account/per-campaign success and failure; do not present partial execution as total success.</w:t>
      </w:r>
    </w:p>
    <w:p>
      <w:pPr>
        <w:pStyle w:val="ListBullet"/>
      </w:pPr>
      <w:r>
        <w:t>Use audit logs for important changes such as campaign edits, budget changes, connection changes and role updates.</w:t>
      </w:r>
    </w:p>
    <w:p>
      <w:pPr>
        <w:pStyle w:val="ListBullet"/>
      </w:pPr>
      <w:r>
        <w:t>Keep clients as SaaS organizational records; an agency client's login is optional for the MVP, as previously confirmed.</w:t>
      </w:r>
    </w:p>
    <w:p>
      <w:pPr>
        <w:pStyle w:val="Heading1"/>
      </w:pPr>
      <w:r>
        <w:t>5. Suggested navigation</w:t>
      </w:r>
    </w:p>
    <w:p>
      <w:r>
        <w:t>Overview • Clients • Campaigns • Ad Groups / Ad Sets • Ads &amp; Creatives • Audiences &amp; Targeting • Conversions &amp; Tracking • Reports • Billing • Connected Accounts • Team &amp; Settings • API Health</w:t>
      </w:r>
    </w:p>
    <w:p>
      <w:pPr>
        <w:pStyle w:val="Heading1"/>
      </w:pPr>
      <w:r>
        <w:t>6. Current status and scope</w:t>
      </w:r>
    </w:p>
    <w:p>
      <w:r>
        <w:t>This is an architecture discussion brief, not a final implementation specification. It reflects the current planning direction: one shared product experience with provider-specific adapters and workflows where platforms differ. Feature-level choices not explicitly confirmed by the product owner remain pending and should be revisited during implementation planning.</w:t>
      </w:r>
    </w:p>
    <w:p>
      <w:r>
        <w:t>Confirmed so far: users receive a personal workspace by default; agency clients do not need a login to the SaaS in the MVP. Other choices—such as multi-workspace membership, exact permissions, account import defaults, and initial write capabilities—remain pending.</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Unified Ads Management Platform • Senior Architecture Review Brief • Planning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1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41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416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D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