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STATISTICAL TESTING &amp; ANALYSIS OF THE KEY FINDINGS</w:t>
      </w:r>
    </w:p>
    <w:p>
      <w:pPr>
        <w:jc w:val="center"/>
      </w:pPr>
      <w:r>
        <w:rPr>
          <w:i/>
          <w:sz w:val="22"/>
        </w:rPr>
        <w:t>Voter Awareness of Candidate Disclosures Survey</w:t>
      </w:r>
    </w:p>
    <w:p>
      <w:r>
        <w:rPr>
          <w:b/>
        </w:rPr>
        <w:t xml:space="preserve">Dataset: </w:t>
      </w:r>
      <w:r>
        <w:t xml:space="preserve">210 respondents × 9 raw variables. </w:t>
      </w:r>
      <w:r>
        <w:t>This document explains the statistical logic behind the reported findings and how each result should be analysed and reported.</w:t>
      </w:r>
    </w:p>
    <w:p>
      <w:pPr>
        <w:pStyle w:val="Heading1"/>
      </w:pPr>
      <w:r>
        <w:t>1. The central analytical structure</w:t>
      </w:r>
    </w:p>
    <w:p>
      <w:r>
        <w:t>The survey measures each respondent's favorability toward a candidate twice: once before seeing the candidate's disclosure information and once after seeing it. Therefore, the fundamental outcome is the within-respondent change:</w:t>
      </w:r>
    </w:p>
    <w:p>
      <w:pPr>
        <w:jc w:val="center"/>
      </w:pPr>
      <w:r>
        <w:rPr>
          <w:b/>
        </w:rPr>
        <w:t>Favorability Change (ΔF) = Favorability After − Favorability Before</w:t>
      </w:r>
    </w:p>
    <w:p>
      <w:r>
        <w:t>Because the two measurements come from the same respondent, they are paired observations. The main analysis therefore tests whether the average paired change differs from zero, and subsequent regression analysis explains why the size of that change differs between respondents.</w:t>
      </w:r>
    </w:p>
    <w:p>
      <w:pPr>
        <w:pStyle w:val="Heading1"/>
      </w:pPr>
      <w:r>
        <w:t>2. Finding 1 — Exposure to disclosures significantly lowers favorability overall</w:t>
      </w:r>
    </w:p>
    <w:p>
      <w:r>
        <w:rPr>
          <w:b/>
        </w:rPr>
        <w:t xml:space="preserve">Reported finding: </w:t>
      </w:r>
      <w:r>
        <w:t>Mean change = −0.39, p &lt; 0.00001.</w:t>
      </w:r>
    </w:p>
    <w:p>
      <w:pPr>
        <w:pStyle w:val="Heading2"/>
      </w:pPr>
      <w:r>
        <w:t>Statistical test: Paired-samples t-test</w:t>
      </w:r>
    </w:p>
    <w:p>
      <w:r>
        <w:t>The natural first test is a paired-samples t-test because every respondent supplies both a before and an after score. The test does not treat the two sets of ratings as independent groups.</w:t>
      </w:r>
    </w:p>
    <w:p>
      <w:r>
        <w:t>For respondent i:</w:t>
      </w:r>
    </w:p>
    <w:p>
      <w:pPr>
        <w:jc w:val="center"/>
      </w:pPr>
      <w:r>
        <w:rPr>
          <w:b/>
        </w:rPr>
        <w:t>dᵢ = Afterᵢ − Beforeᵢ</w:t>
      </w:r>
    </w:p>
    <w:p>
      <w:r>
        <w:t>The test then examines whether the population mean difference is zero:</w:t>
      </w:r>
    </w:p>
    <w:p>
      <w:pPr>
        <w:jc w:val="center"/>
      </w:pPr>
      <w:r>
        <w:rPr>
          <w:b/>
        </w:rPr>
        <w:t>H₀: μd = 0       versus       H₁: μd ≠ 0</w:t>
      </w:r>
    </w:p>
    <w:p>
      <w:r>
        <w:t>The t-statistic is calculated as the observed mean change divided by its standard error. The extremely small p-value means that, under the null hypothesis of no average change, a result this far from zero would be extremely unlikely.</w:t>
      </w:r>
    </w:p>
    <w:p>
      <w:r>
        <w:t>Interpretation: the estimated average change of −0.39 means that, on average, favorability fell by 0.39 points on the 1–10 scale after respondents saw the disclosure information.</w:t>
      </w:r>
    </w:p>
    <w:p>
      <w:pPr>
        <w:pStyle w:val="Heading2"/>
      </w:pPr>
      <w:r>
        <w:t>What should also be reported</w:t>
      </w:r>
    </w:p>
    <w:p>
      <w:pPr>
        <w:pStyle w:val="ListBullet"/>
      </w:pPr>
      <w:r>
        <w:t>Mean favorability before exposure.</w:t>
      </w:r>
    </w:p>
    <w:p>
      <w:pPr>
        <w:pStyle w:val="ListBullet"/>
      </w:pPr>
      <w:r>
        <w:t>Mean favorability after exposure.</w:t>
      </w:r>
    </w:p>
    <w:p>
      <w:pPr>
        <w:pStyle w:val="ListBullet"/>
      </w:pPr>
      <w:r>
        <w:t>Mean paired difference (−0.39).</w:t>
      </w:r>
    </w:p>
    <w:p>
      <w:pPr>
        <w:pStyle w:val="ListBullet"/>
      </w:pPr>
      <w:r>
        <w:t>Standard deviation of the paired differences.</w:t>
      </w:r>
    </w:p>
    <w:p>
      <w:pPr>
        <w:pStyle w:val="ListBullet"/>
      </w:pPr>
      <w:r>
        <w:t>95% confidence interval for the mean difference.</w:t>
      </w:r>
    </w:p>
    <w:p>
      <w:pPr>
        <w:pStyle w:val="ListBullet"/>
      </w:pPr>
      <w:r>
        <w:t>t-statistic, degrees of freedom and p-value.</w:t>
      </w:r>
    </w:p>
    <w:p>
      <w:pPr>
        <w:pStyle w:val="ListBullet"/>
      </w:pPr>
      <w:r>
        <w:t>Sample size used in the paired test.</w:t>
      </w:r>
    </w:p>
    <w:p>
      <w:pPr>
        <w:pStyle w:val="ListBullet"/>
      </w:pPr>
      <w:r>
        <w:t>A standardized effect size such as Cohen's dz, where appropriate.</w:t>
      </w:r>
    </w:p>
    <w:p>
      <w:pPr>
        <w:pStyle w:val="Heading2"/>
      </w:pPr>
      <w:r>
        <w:t>Assumption/robustness check</w:t>
      </w:r>
    </w:p>
    <w:p>
      <w:r>
        <w:t>The paired t-test assumes the distribution of the paired differences is reasonably suitable for a t-based inference. Inspect a histogram or Q–Q plot of ΔF and check for extreme anomalies. If the difference distribution is severely non-normal or heavily affected by outliers, a Wilcoxon signed-rank test can be reported as a robustness/sensitivity analysis.</w:t>
      </w:r>
    </w:p>
    <w:p>
      <w:pPr>
        <w:pStyle w:val="Heading1"/>
      </w:pPr>
      <w:r>
        <w:t>3. Finding 2 — Prior awareness reduces the negative shift</w:t>
      </w:r>
    </w:p>
    <w:p>
      <w:r>
        <w:rPr>
          <w:b/>
        </w:rPr>
        <w:t xml:space="preserve">Reported finding: </w:t>
      </w:r>
      <w:r>
        <w:t>Regression coefficient for prior awareness = +0.49, p = 0.001.</w:t>
      </w:r>
    </w:p>
    <w:p>
      <w:pPr>
        <w:pStyle w:val="Heading2"/>
      </w:pPr>
      <w:r>
        <w:t>Primary statistical method: Multiple linear regression</w:t>
      </w:r>
    </w:p>
    <w:p>
      <w:r>
        <w:t>The regression uses Favorability Change (ΔF) as the dependent variable. Prior awareness is one predictor, while other measured factors are entered simultaneously as control variables. This allows the coefficient for awareness to represent the association with change after accounting for the other variables in the model.</w:t>
      </w:r>
    </w:p>
    <w:p>
      <w:pPr>
        <w:jc w:val="center"/>
      </w:pPr>
      <w:r>
        <w:rPr>
          <w:b/>
        </w:rPr>
        <w:t>ΔFᵢ = β₀ + β₁Awarenessᵢ + β₂Ageᵢ + β₃Educationᵢ + β₄CriminalSeverityᵢ + β₅Assetsᵢ + … + εᵢ</w:t>
      </w:r>
    </w:p>
    <w:p>
      <w:r>
        <w:t>If Awareness is coded 1 = already aware and 0 = not aware, β₁ = +0.49 means that, holding the other included predictors constant, already-aware respondents have an estimated 0.49-point higher change than previously-unaware respondents. Since the overall average change is negative, a positive awareness coefficient means a smaller negative shift (or a relatively more favorable shift).</w:t>
      </w:r>
    </w:p>
    <w:p>
      <w:r>
        <w:t>The p = 0.001 result tests H₀: β₁ = 0. Since 0.001 is below conventional significance levels such as 0.05, the awareness coefficient is statistically significant in the reported model.</w:t>
      </w:r>
    </w:p>
    <w:p>
      <w:pPr>
        <w:pStyle w:val="Heading2"/>
      </w:pPr>
      <w:r>
        <w:t>Why the simple subgroup comparison can look weaker</w:t>
      </w:r>
    </w:p>
    <w:p>
      <w:r>
        <w:t>A simple comparison of mean ΔF between aware and unaware respondents is an unadjusted analysis. It mixes the awareness effect with differences in candidate type, criminal-case severity, assets, age, education and other variables. If most candidate disclosures contain little or no serious criminal information, the average subgroup difference can be diluted.</w:t>
      </w:r>
    </w:p>
    <w:p>
      <w:r>
        <w:t>The multiple regression instead estimates the awareness coefficient conditional on the other predictors. Thus, the regression and the simple two-group comparison answer related but different questions: the first is adjusted, the second is unadjusted.</w:t>
      </w:r>
    </w:p>
    <w:p>
      <w:pPr>
        <w:pStyle w:val="Heading2"/>
      </w:pPr>
      <w:r>
        <w:t>Useful supporting test</w:t>
      </w:r>
    </w:p>
    <w:p>
      <w:r>
        <w:t>Before regression, an independent-samples t-test (or Mann–Whitney U test if its assumptions are unsuitable) can compare ΔF between aware and unaware respondents. This is useful descriptively, but it should not replace the adjusted regression when the research question requires simultaneous controls.</w:t>
      </w:r>
    </w:p>
    <w:p>
      <w:pPr>
        <w:pStyle w:val="Heading1"/>
      </w:pPr>
      <w:r>
        <w:t>4. Finding 3 — Criminal-record severity produces the largest effect</w:t>
      </w:r>
    </w:p>
    <w:p>
      <w:r>
        <w:rPr>
          <w:b/>
        </w:rPr>
        <w:t xml:space="preserve">Reported finding: </w:t>
      </w:r>
      <w:r>
        <w:t>Serious criminal case ≈ −2.0 points (p &lt; 0.001); minor cases ≈ −0.21 per case (p = 0.001).</w:t>
      </w:r>
    </w:p>
    <w:p>
      <w:pPr>
        <w:pStyle w:val="Heading2"/>
      </w:pPr>
      <w:r>
        <w:t>Statistical method: Regression with criminal-record predictors</w:t>
      </w:r>
    </w:p>
    <w:p>
      <w:r>
        <w:t>This finding is obtained by putting measures of criminal-record severity into the multiple regression where ΔF is the dependent variable. There are two common ways to represent the criminal information, and the exact coding must match the model actually used.</w:t>
      </w:r>
    </w:p>
    <w:p>
      <w:r>
        <w:t>A. Serious-case indicator</w:t>
      </w:r>
    </w:p>
    <w:p>
      <w:pPr>
        <w:jc w:val="center"/>
      </w:pPr>
      <w:r>
        <w:rPr>
          <w:b/>
        </w:rPr>
        <w:t>ΔFᵢ = … + βserious SeriousCaseᵢ + …</w:t>
      </w:r>
    </w:p>
    <w:p>
      <w:r>
        <w:t>If SeriousCase = 1 means a serious criminal case is present and 0 means the reference condition, βserious ≈ −2.0 means the model estimates about a two-point lower favorability change for that condition, holding the other included predictors constant. The p &lt; 0.001 indicates strong statistical evidence that the coefficient differs from zero.</w:t>
      </w:r>
    </w:p>
    <w:p>
      <w:r>
        <w:t>B. Number of minor cases</w:t>
      </w:r>
    </w:p>
    <w:p>
      <w:pPr>
        <w:jc w:val="center"/>
      </w:pPr>
      <w:r>
        <w:rPr>
          <w:b/>
        </w:rPr>
        <w:t>ΔFᵢ = … + βminor MinorCaseCountᵢ + …</w:t>
      </w:r>
    </w:p>
    <w:p>
      <w:r>
        <w:t>A coefficient of −0.21 means each additional minor case is associated with approximately a 0.21-point lower ΔF, conditional on the other variables in the model. The p = 0.001 indicates that this estimated slope is statistically different from zero under the model.</w:t>
      </w:r>
    </w:p>
    <w:p>
      <w:pPr>
        <w:pStyle w:val="Heading2"/>
      </w:pPr>
      <w:r>
        <w:t>Important coding issue</w:t>
      </w:r>
    </w:p>
    <w:p>
      <w:r>
        <w:t>If 'serious' and 'minor' are categories rather than counts, categorical dummy variables should be used with an explicit reference category. If minor cases are counted, the coefficient is interpreted per additional case. These are not the same model. The final paper should state the exact coding used.</w:t>
      </w:r>
    </w:p>
    <w:p>
      <w:pPr>
        <w:pStyle w:val="Heading2"/>
      </w:pPr>
      <w:r>
        <w:t>Recommended additional analysis</w:t>
      </w:r>
    </w:p>
    <w:p>
      <w:r>
        <w:t>Report estimated coefficients with 95% confidence intervals, not p-values alone. A coefficient plot is especially useful for showing that criminal severity has a much larger estimated association with ΔF than the other predictors.</w:t>
      </w:r>
    </w:p>
    <w:p>
      <w:pPr>
        <w:pStyle w:val="Heading1"/>
      </w:pPr>
      <w:r>
        <w:t>5. Finding 4 — Assets, education and age show no significant effect</w:t>
      </w:r>
    </w:p>
    <w:p>
      <w:r>
        <w:rPr>
          <w:b/>
        </w:rPr>
        <w:t xml:space="preserve">Reported finding: </w:t>
      </w:r>
      <w:r>
        <w:t>Their regression coefficients were not statistically significant.</w:t>
      </w:r>
    </w:p>
    <w:p>
      <w:pPr>
        <w:pStyle w:val="Heading2"/>
      </w:pPr>
      <w:r>
        <w:t>How it was tested</w:t>
      </w:r>
    </w:p>
    <w:p>
      <w:r>
        <w:t>Age, education and the asset-related variables are included as predictors in the same multiple linear regression with ΔF as the dependent variable. Each variable receives a coefficient, standard error, test statistic and p-value.</w:t>
      </w:r>
    </w:p>
    <w:p>
      <w:r>
        <w:t>For a continuous predictor such as age, the null hypothesis is typically H₀: βage = 0. For a categorical predictor such as education, the model uses indicator/dummy variables and tests individual categories and/or a joint hypothesis for the whole factor.</w:t>
      </w:r>
    </w:p>
    <w:p>
      <w:r>
        <w:t>If the p-value is greater than the pre-specified significance level (commonly 0.05), the study does not have sufficient statistical evidence to reject the null hypothesis for that predictor. This does NOT prove that the variable has absolutely no effect. It means that the observed data and model do not provide statistically significant evidence of an effect.</w:t>
      </w:r>
    </w:p>
    <w:p>
      <w:pPr>
        <w:pStyle w:val="Heading2"/>
      </w:pPr>
      <w:r>
        <w:t>What to check before claiming 'no effect'</w:t>
      </w:r>
    </w:p>
    <w:p>
      <w:pPr>
        <w:pStyle w:val="ListBullet"/>
      </w:pPr>
      <w:r>
        <w:t>Coefficient size and 95% confidence interval — a non-significant but very imprecise estimate is different from strong evidence of a near-zero effect.</w:t>
      </w:r>
    </w:p>
    <w:p>
      <w:pPr>
        <w:pStyle w:val="ListBullet"/>
      </w:pPr>
      <w:r>
        <w:t>Sample size and statistical power.</w:t>
      </w:r>
    </w:p>
    <w:p>
      <w:pPr>
        <w:pStyle w:val="ListBullet"/>
      </w:pPr>
      <w:r>
        <w:t>Multicollinearity among predictors using VIF or related diagnostics.</w:t>
      </w:r>
    </w:p>
    <w:p>
      <w:pPr>
        <w:pStyle w:val="ListBullet"/>
      </w:pPr>
      <w:r>
        <w:t>Correct coding of categorical education levels.</w:t>
      </w:r>
    </w:p>
    <w:p>
      <w:pPr>
        <w:pStyle w:val="ListBullet"/>
      </w:pPr>
      <w:r>
        <w:t>Whether asset measures were specified in a theoretically meaningful way.</w:t>
      </w:r>
    </w:p>
    <w:p>
      <w:pPr>
        <w:pStyle w:val="ListBullet"/>
      </w:pPr>
      <w:r>
        <w:t>Residual diagnostics and model specification.</w:t>
      </w:r>
    </w:p>
    <w:p>
      <w:pPr>
        <w:pStyle w:val="Heading1"/>
      </w:pPr>
      <w:r>
        <w:t>6. Finding 5 — 75.7% were unaware before exposure</w:t>
      </w:r>
    </w:p>
    <w:p>
      <w:r>
        <w:rPr>
          <w:b/>
        </w:rPr>
        <w:t xml:space="preserve">Reported finding: </w:t>
      </w:r>
      <w:r>
        <w:t>75.7% of respondents reported that they were not previously aware of the candidate disclosures.</w:t>
      </w:r>
    </w:p>
    <w:p>
      <w:pPr>
        <w:pStyle w:val="Heading2"/>
      </w:pPr>
      <w:r>
        <w:t>Statistical method: Descriptive proportion</w:t>
      </w:r>
    </w:p>
    <w:p>
      <w:r>
        <w:t>This is primarily a descriptive statistic, not an effect test. It is calculated as the number of respondents answering 'No' divided by the total number of valid responses to the awareness question:</w:t>
      </w:r>
    </w:p>
    <w:p>
      <w:pPr>
        <w:jc w:val="center"/>
      </w:pPr>
      <w:r>
        <w:rPr>
          <w:b/>
        </w:rPr>
        <w:t>Percentage unaware = (Number unaware / Number valid awareness responses) × 100</w:t>
      </w:r>
    </w:p>
    <w:p>
      <w:r>
        <w:t>With 210 complete rows in the supplied raw CSV, 75.7% corresponds to approximately 159 respondents (159/210 ≈ 75.7%). The exact denominator should be stated explicitly in the final paper if any responses are excluded.</w:t>
      </w:r>
    </w:p>
    <w:p>
      <w:pPr>
        <w:pStyle w:val="Heading2"/>
      </w:pPr>
      <w:r>
        <w:t>Optional inferential treatment</w:t>
      </w:r>
    </w:p>
    <w:p>
      <w:r>
        <w:t>If the study needs to compare the observed awareness proportion with a pre-specified benchmark, a one-sample proportion test or exact binomial test can be used. However, if 75.7% is simply being used to describe the survey sample, no hypothesis test is necessary.</w:t>
      </w:r>
    </w:p>
    <w:p>
      <w:pPr>
        <w:pStyle w:val="Heading1"/>
      </w:pPr>
      <w:r>
        <w:t>7. How the findings fit together</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Pr>
          <w:p>
            <w:r>
              <w:rPr>
                <w:b/>
              </w:rPr>
              <w:t>Finding</w:t>
            </w:r>
          </w:p>
        </w:tc>
        <w:tc>
          <w:tcPr>
            <w:tcW w:type="dxa" w:w="2045"/>
          </w:tcPr>
          <w:p>
            <w:r>
              <w:rPr>
                <w:b/>
              </w:rPr>
              <w:t>Outcome / statistic</w:t>
            </w:r>
          </w:p>
        </w:tc>
        <w:tc>
          <w:tcPr>
            <w:tcW w:type="dxa" w:w="2045"/>
          </w:tcPr>
          <w:p>
            <w:r>
              <w:rPr>
                <w:b/>
              </w:rPr>
              <w:t>Primary method</w:t>
            </w:r>
          </w:p>
        </w:tc>
        <w:tc>
          <w:tcPr>
            <w:tcW w:type="dxa" w:w="2045"/>
          </w:tcPr>
          <w:p>
            <w:r>
              <w:rPr>
                <w:b/>
              </w:rPr>
              <w:t>Null hypothesis / comparison</w:t>
            </w:r>
          </w:p>
        </w:tc>
        <w:tc>
          <w:tcPr>
            <w:tcW w:type="dxa" w:w="2045"/>
          </w:tcPr>
          <w:p>
            <w:r>
              <w:rPr>
                <w:b/>
              </w:rPr>
              <w:t>Interpretation</w:t>
            </w:r>
          </w:p>
        </w:tc>
      </w:tr>
      <w:tr>
        <w:tc>
          <w:tcPr>
            <w:tcW w:type="dxa" w:w="2045"/>
          </w:tcPr>
          <w:p>
            <w:r>
              <w:t>Overall disclosure effect</w:t>
            </w:r>
          </w:p>
        </w:tc>
        <w:tc>
          <w:tcPr>
            <w:tcW w:type="dxa" w:w="2045"/>
          </w:tcPr>
          <w:p>
            <w:r>
              <w:t>Mean ΔF = −0.39</w:t>
            </w:r>
          </w:p>
        </w:tc>
        <w:tc>
          <w:tcPr>
            <w:tcW w:type="dxa" w:w="2045"/>
          </w:tcPr>
          <w:p>
            <w:r>
              <w:t>Paired-samples t-test</w:t>
            </w:r>
          </w:p>
        </w:tc>
        <w:tc>
          <w:tcPr>
            <w:tcW w:type="dxa" w:w="2045"/>
          </w:tcPr>
          <w:p>
            <w:r>
              <w:t>H₀: mean ΔF = 0</w:t>
            </w:r>
          </w:p>
        </w:tc>
        <w:tc>
          <w:tcPr>
            <w:tcW w:type="dxa" w:w="2045"/>
          </w:tcPr>
          <w:p>
            <w:r>
              <w:t>Average favorability decreases after exposure.</w:t>
            </w:r>
          </w:p>
        </w:tc>
      </w:tr>
      <w:tr>
        <w:tc>
          <w:tcPr>
            <w:tcW w:type="dxa" w:w="2045"/>
          </w:tcPr>
          <w:p>
            <w:r>
              <w:t>Prior awareness</w:t>
            </w:r>
          </w:p>
        </w:tc>
        <w:tc>
          <w:tcPr>
            <w:tcW w:type="dxa" w:w="2045"/>
          </w:tcPr>
          <w:p>
            <w:r>
              <w:t>β = +0.49, p=.001</w:t>
            </w:r>
          </w:p>
        </w:tc>
        <w:tc>
          <w:tcPr>
            <w:tcW w:type="dxa" w:w="2045"/>
          </w:tcPr>
          <w:p>
            <w:r>
              <w:t>Multiple linear regression</w:t>
            </w:r>
          </w:p>
        </w:tc>
        <w:tc>
          <w:tcPr>
            <w:tcW w:type="dxa" w:w="2045"/>
          </w:tcPr>
          <w:p>
            <w:r>
              <w:t>H₀: βawareness = 0</w:t>
            </w:r>
          </w:p>
        </w:tc>
        <w:tc>
          <w:tcPr>
            <w:tcW w:type="dxa" w:w="2045"/>
          </w:tcPr>
          <w:p>
            <w:r>
              <w:t>Already-aware respondents have a smaller negative shift, conditional on controls.</w:t>
            </w:r>
          </w:p>
        </w:tc>
      </w:tr>
      <w:tr>
        <w:tc>
          <w:tcPr>
            <w:tcW w:type="dxa" w:w="2045"/>
          </w:tcPr>
          <w:p>
            <w:r>
              <w:t>Serious criminal record</w:t>
            </w:r>
          </w:p>
        </w:tc>
        <w:tc>
          <w:tcPr>
            <w:tcW w:type="dxa" w:w="2045"/>
          </w:tcPr>
          <w:p>
            <w:r>
              <w:t>β ≈ −2.0, p&lt;.001</w:t>
            </w:r>
          </w:p>
        </w:tc>
        <w:tc>
          <w:tcPr>
            <w:tcW w:type="dxa" w:w="2045"/>
          </w:tcPr>
          <w:p>
            <w:r>
              <w:t>Multiple linear regression</w:t>
            </w:r>
          </w:p>
        </w:tc>
        <w:tc>
          <w:tcPr>
            <w:tcW w:type="dxa" w:w="2045"/>
          </w:tcPr>
          <w:p>
            <w:r>
              <w:t>H₀: βserious = 0</w:t>
            </w:r>
          </w:p>
        </w:tc>
        <w:tc>
          <w:tcPr>
            <w:tcW w:type="dxa" w:w="2045"/>
          </w:tcPr>
          <w:p>
            <w:r>
              <w:t>Serious-case information is associated with a large negative shift.</w:t>
            </w:r>
          </w:p>
        </w:tc>
      </w:tr>
      <w:tr>
        <w:tc>
          <w:tcPr>
            <w:tcW w:type="dxa" w:w="2045"/>
          </w:tcPr>
          <w:p>
            <w:r>
              <w:t>Minor criminal cases</w:t>
            </w:r>
          </w:p>
        </w:tc>
        <w:tc>
          <w:tcPr>
            <w:tcW w:type="dxa" w:w="2045"/>
          </w:tcPr>
          <w:p>
            <w:r>
              <w:t>β ≈ −0.21/case, p=.001</w:t>
            </w:r>
          </w:p>
        </w:tc>
        <w:tc>
          <w:tcPr>
            <w:tcW w:type="dxa" w:w="2045"/>
          </w:tcPr>
          <w:p>
            <w:r>
              <w:t>Multiple linear regression</w:t>
            </w:r>
          </w:p>
        </w:tc>
        <w:tc>
          <w:tcPr>
            <w:tcW w:type="dxa" w:w="2045"/>
          </w:tcPr>
          <w:p>
            <w:r>
              <w:t>H₀: βminor = 0</w:t>
            </w:r>
          </w:p>
        </w:tc>
        <w:tc>
          <w:tcPr>
            <w:tcW w:type="dxa" w:w="2045"/>
          </w:tcPr>
          <w:p>
            <w:r>
              <w:t>Each additional minor case is associated with a smaller negative shift.</w:t>
            </w:r>
          </w:p>
        </w:tc>
      </w:tr>
      <w:tr>
        <w:tc>
          <w:tcPr>
            <w:tcW w:type="dxa" w:w="2045"/>
          </w:tcPr>
          <w:p>
            <w:r>
              <w:t>Assets / education / age</w:t>
            </w:r>
          </w:p>
        </w:tc>
        <w:tc>
          <w:tcPr>
            <w:tcW w:type="dxa" w:w="2045"/>
          </w:tcPr>
          <w:p>
            <w:r>
              <w:t>Non-significant coefficients</w:t>
            </w:r>
          </w:p>
        </w:tc>
        <w:tc>
          <w:tcPr>
            <w:tcW w:type="dxa" w:w="2045"/>
          </w:tcPr>
          <w:p>
            <w:r>
              <w:t>Multiple linear regression</w:t>
            </w:r>
          </w:p>
        </w:tc>
        <w:tc>
          <w:tcPr>
            <w:tcW w:type="dxa" w:w="2045"/>
          </w:tcPr>
          <w:p>
            <w:r>
              <w:t>H₀: β = 0</w:t>
            </w:r>
          </w:p>
        </w:tc>
        <w:tc>
          <w:tcPr>
            <w:tcW w:type="dxa" w:w="2045"/>
          </w:tcPr>
          <w:p>
            <w:r>
              <w:t>No statistically significant evidence in the fitted model.</w:t>
            </w:r>
          </w:p>
        </w:tc>
      </w:tr>
      <w:tr>
        <w:tc>
          <w:tcPr>
            <w:tcW w:type="dxa" w:w="2045"/>
          </w:tcPr>
          <w:p>
            <w:r>
              <w:t>Prior unawareness</w:t>
            </w:r>
          </w:p>
        </w:tc>
        <w:tc>
          <w:tcPr>
            <w:tcW w:type="dxa" w:w="2045"/>
          </w:tcPr>
          <w:p>
            <w:r>
              <w:t>75.7%</w:t>
            </w:r>
          </w:p>
        </w:tc>
        <w:tc>
          <w:tcPr>
            <w:tcW w:type="dxa" w:w="2045"/>
          </w:tcPr>
          <w:p>
            <w:r>
              <w:t>Descriptive proportion</w:t>
            </w:r>
          </w:p>
        </w:tc>
        <w:tc>
          <w:tcPr>
            <w:tcW w:type="dxa" w:w="2045"/>
          </w:tcPr>
          <w:p>
            <w:r>
              <w:t>No inferential null required</w:t>
            </w:r>
          </w:p>
        </w:tc>
        <w:tc>
          <w:tcPr>
            <w:tcW w:type="dxa" w:w="2045"/>
          </w:tcPr>
          <w:p>
            <w:r>
              <w:t>Most respondents had not previously known the disclosures.</w:t>
            </w:r>
          </w:p>
        </w:tc>
      </w:tr>
    </w:tbl>
    <w:p>
      <w:pPr>
        <w:pStyle w:val="Heading1"/>
      </w:pPr>
      <w:r>
        <w:t>8. Recommended full statistical workflow</w:t>
      </w:r>
    </w:p>
    <w:p>
      <w:pPr>
        <w:pStyle w:val="ListNumber"/>
      </w:pPr>
      <w:r>
        <w:t>1. Clean and validate the raw response data.</w:t>
      </w:r>
    </w:p>
    <w:p>
      <w:pPr>
        <w:pStyle w:val="ListNumber"/>
      </w:pPr>
      <w:r>
        <w:t>2. Confirm the before and after favorability variables are numeric and both use the same 1–10 direction.</w:t>
      </w:r>
    </w:p>
    <w:p>
      <w:pPr>
        <w:pStyle w:val="ListNumber"/>
      </w:pPr>
      <w:r>
        <w:t>3. Calculate respondent-level ΔF = After − Before.</w:t>
      </w:r>
    </w:p>
    <w:p>
      <w:pPr>
        <w:pStyle w:val="ListNumber"/>
      </w:pPr>
      <w:r>
        <w:t>4. Describe before scores, after scores and ΔF using mean, median, SD, range and distribution plots.</w:t>
      </w:r>
    </w:p>
    <w:p>
      <w:pPr>
        <w:pStyle w:val="ListNumber"/>
      </w:pPr>
      <w:r>
        <w:t>5. Run the paired-samples t-test for the overall pre/post change.</w:t>
      </w:r>
    </w:p>
    <w:p>
      <w:pPr>
        <w:pStyle w:val="ListNumber"/>
      </w:pPr>
      <w:r>
        <w:t>6. Run a Wilcoxon signed-rank test as a robustness check if the distribution of ΔF is strongly non-normal.</w:t>
      </w:r>
    </w:p>
    <w:p>
      <w:pPr>
        <w:pStyle w:val="ListNumber"/>
      </w:pPr>
      <w:r>
        <w:t>7. Calculate the proportion previously aware/unaware.</w:t>
      </w:r>
    </w:p>
    <w:p>
      <w:pPr>
        <w:pStyle w:val="ListNumber"/>
      </w:pPr>
      <w:r>
        <w:t>8. Conduct an unadjusted aware-versus-unaware comparison of ΔF for descriptive context.</w:t>
      </w:r>
    </w:p>
    <w:p>
      <w:pPr>
        <w:pStyle w:val="ListNumber"/>
      </w:pPr>
      <w:r>
        <w:t>9. Fit the multiple linear regression with ΔF as the dependent variable.</w:t>
      </w:r>
    </w:p>
    <w:p>
      <w:pPr>
        <w:pStyle w:val="ListNumber"/>
      </w:pPr>
      <w:r>
        <w:t>10. Encode categorical predictors correctly and define reference categories explicitly.</w:t>
      </w:r>
    </w:p>
    <w:p>
      <w:pPr>
        <w:pStyle w:val="ListNumber"/>
      </w:pPr>
      <w:r>
        <w:t>11. Examine regression assumptions: linearity, residual distribution, heteroskedasticity, influential observations and multicollinearity.</w:t>
      </w:r>
    </w:p>
    <w:p>
      <w:pPr>
        <w:pStyle w:val="ListNumber"/>
      </w:pPr>
      <w:r>
        <w:t>12. Report coefficients, standard errors, 95% confidence intervals, p-values and model fit statistics.</w:t>
      </w:r>
    </w:p>
    <w:p>
      <w:pPr>
        <w:pStyle w:val="ListNumber"/>
      </w:pPr>
      <w:r>
        <w:t>13. Interpret non-significant variables cautiously: absence of statistical significance is not proof of zero effect.</w:t>
      </w:r>
    </w:p>
    <w:p>
      <w:pPr>
        <w:pStyle w:val="ListNumber"/>
      </w:pPr>
      <w:r>
        <w:t>14. Perform sensitivity/robustness analyses where appropriate.</w:t>
      </w:r>
    </w:p>
    <w:p>
      <w:pPr>
        <w:pStyle w:val="ListNumber"/>
      </w:pPr>
      <w:r>
        <w:t>15. Preserve the exact model specification and cleaning rules so the results are reproducible.</w:t>
      </w:r>
    </w:p>
    <w:p>
      <w:pPr>
        <w:pStyle w:val="Heading1"/>
      </w:pPr>
      <w:r>
        <w:t>9. Regression diagnostics that should accompany the reported model</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Issue</w:t>
            </w:r>
          </w:p>
        </w:tc>
        <w:tc>
          <w:tcPr>
            <w:tcW w:type="dxa" w:w="3408"/>
          </w:tcPr>
          <w:p>
            <w:r>
              <w:rPr>
                <w:b/>
              </w:rPr>
              <w:t>Method</w:t>
            </w:r>
          </w:p>
        </w:tc>
        <w:tc>
          <w:tcPr>
            <w:tcW w:type="dxa" w:w="3408"/>
          </w:tcPr>
          <w:p>
            <w:r>
              <w:rPr>
                <w:b/>
              </w:rPr>
              <w:t>Purpose</w:t>
            </w:r>
          </w:p>
        </w:tc>
      </w:tr>
      <w:tr>
        <w:tc>
          <w:tcPr>
            <w:tcW w:type="dxa" w:w="3408"/>
          </w:tcPr>
          <w:p>
            <w:r>
              <w:t>Multicollinearity</w:t>
            </w:r>
          </w:p>
        </w:tc>
        <w:tc>
          <w:tcPr>
            <w:tcW w:type="dxa" w:w="3408"/>
          </w:tcPr>
          <w:p>
            <w:r>
              <w:t>VIF / tolerance</w:t>
            </w:r>
          </w:p>
        </w:tc>
        <w:tc>
          <w:tcPr>
            <w:tcW w:type="dxa" w:w="3408"/>
          </w:tcPr>
          <w:p>
            <w:r>
              <w:t>Check whether predictors are strongly correlated, which can inflate standard errors.</w:t>
            </w:r>
          </w:p>
        </w:tc>
      </w:tr>
      <w:tr>
        <w:tc>
          <w:tcPr>
            <w:tcW w:type="dxa" w:w="3408"/>
          </w:tcPr>
          <w:p>
            <w:r>
              <w:t>Heteroskedasticity</w:t>
            </w:r>
          </w:p>
        </w:tc>
        <w:tc>
          <w:tcPr>
            <w:tcW w:type="dxa" w:w="3408"/>
          </w:tcPr>
          <w:p>
            <w:r>
              <w:t>Residual-vs-fitted plot; Breusch–Pagan or robust SEs</w:t>
            </w:r>
          </w:p>
        </w:tc>
        <w:tc>
          <w:tcPr>
            <w:tcW w:type="dxa" w:w="3408"/>
          </w:tcPr>
          <w:p>
            <w:r>
              <w:t>Check whether residual variance changes across fitted values.</w:t>
            </w:r>
          </w:p>
        </w:tc>
      </w:tr>
      <w:tr>
        <w:tc>
          <w:tcPr>
            <w:tcW w:type="dxa" w:w="3408"/>
          </w:tcPr>
          <w:p>
            <w:r>
              <w:t>Linearity</w:t>
            </w:r>
          </w:p>
        </w:tc>
        <w:tc>
          <w:tcPr>
            <w:tcW w:type="dxa" w:w="3408"/>
          </w:tcPr>
          <w:p>
            <w:r>
              <w:t>Residual plots / partial residual plots</w:t>
            </w:r>
          </w:p>
        </w:tc>
        <w:tc>
          <w:tcPr>
            <w:tcW w:type="dxa" w:w="3408"/>
          </w:tcPr>
          <w:p>
            <w:r>
              <w:t>Check whether continuous predictors have approximately linear relationships with ΔF.</w:t>
            </w:r>
          </w:p>
        </w:tc>
      </w:tr>
      <w:tr>
        <w:tc>
          <w:tcPr>
            <w:tcW w:type="dxa" w:w="3408"/>
          </w:tcPr>
          <w:p>
            <w:r>
              <w:t>Influential observations</w:t>
            </w:r>
          </w:p>
        </w:tc>
        <w:tc>
          <w:tcPr>
            <w:tcW w:type="dxa" w:w="3408"/>
          </w:tcPr>
          <w:p>
            <w:r>
              <w:t>Cook's distance / leverage</w:t>
            </w:r>
          </w:p>
        </w:tc>
        <w:tc>
          <w:tcPr>
            <w:tcW w:type="dxa" w:w="3408"/>
          </w:tcPr>
          <w:p>
            <w:r>
              <w:t>Identify observations that disproportionately affect coefficients.</w:t>
            </w:r>
          </w:p>
        </w:tc>
      </w:tr>
      <w:tr>
        <w:tc>
          <w:tcPr>
            <w:tcW w:type="dxa" w:w="3408"/>
          </w:tcPr>
          <w:p>
            <w:r>
              <w:t>Residual distribution</w:t>
            </w:r>
          </w:p>
        </w:tc>
        <w:tc>
          <w:tcPr>
            <w:tcW w:type="dxa" w:w="3408"/>
          </w:tcPr>
          <w:p>
            <w:r>
              <w:t>Q–Q plot / histogram</w:t>
            </w:r>
          </w:p>
        </w:tc>
        <w:tc>
          <w:tcPr>
            <w:tcW w:type="dxa" w:w="3408"/>
          </w:tcPr>
          <w:p>
            <w:r>
              <w:t>Assess residual behavior; exact normality is less important with robust methods and adequate samples, but severe issues should be investigated.</w:t>
            </w:r>
          </w:p>
        </w:tc>
      </w:tr>
      <w:tr>
        <w:tc>
          <w:tcPr>
            <w:tcW w:type="dxa" w:w="3408"/>
          </w:tcPr>
          <w:p>
            <w:r>
              <w:t>Model specification</w:t>
            </w:r>
          </w:p>
        </w:tc>
        <w:tc>
          <w:tcPr>
            <w:tcW w:type="dxa" w:w="3408"/>
          </w:tcPr>
          <w:p>
            <w:r>
              <w:t>Theory + alternative specifications</w:t>
            </w:r>
          </w:p>
        </w:tc>
        <w:tc>
          <w:tcPr>
            <w:tcW w:type="dxa" w:w="3408"/>
          </w:tcPr>
          <w:p>
            <w:r>
              <w:t>Check whether important predictors, nonlinearities or interactions have been omitted.</w:t>
            </w:r>
          </w:p>
        </w:tc>
      </w:tr>
    </w:tbl>
    <w:p>
      <w:pPr>
        <w:pStyle w:val="Heading1"/>
      </w:pPr>
      <w:r>
        <w:t>10. Important methodological caution about causality</w:t>
      </w:r>
    </w:p>
    <w:p>
      <w:r>
        <w:t>The paired design provides evidence of a pre/post association between exposure to the disclosure information and a change in favorability. However, unless the study has a randomized or otherwise strong causal design, the safest wording is 'favorability decreased after exposure' or 'exposure was associated with a decrease in favorability,' rather than claiming that the disclosure information definitively caused the change. The regression adjusts for measured variables, but it does not automatically eliminate unmeasured confounding.</w:t>
      </w:r>
    </w:p>
    <w:p>
      <w:pPr>
        <w:pStyle w:val="Heading1"/>
      </w:pPr>
      <w:r>
        <w:t>11. What should appear in the research paper</w:t>
      </w:r>
    </w:p>
    <w:p>
      <w:r>
        <w:t>For each key finding, report the sample size, estimate, uncertainty and statistical test. A strong results section should not only say 'p &lt; 0.05'; it should show the magnitude of the estimated effect and its confidence interval. For the regression, include a coefficient table with β, standard error, 95% CI and p-value, plus the model's R²/adjusted R² and sample size.</w:t>
      </w:r>
    </w:p>
    <w:p>
      <w:pPr>
        <w:pStyle w:val="Heading1"/>
      </w:pPr>
      <w:r>
        <w:t>12. One-paragraph interpretation of the complete result</w:t>
      </w:r>
    </w:p>
    <w:p>
      <w:r>
        <w:t>The analysis first treats each respondent's before and after favorability ratings as a paired observation and tests whether the average within-person change differs from zero. The reported mean change of −0.39 with p &lt; 0.00001 indicates a statistically significant overall decline in favorability following disclosure exposure. The analysis then uses multiple linear regression on the respondent-level change score to determine which characteristics are associated with larger or smaller shifts while holding the other measured predictors constant. In that model, prior awareness has a positive coefficient of 0.49 (p = 0.001), indicating a smaller negative shift among respondents who were already aware. Criminal-record severity shows the largest negative association, with a reported effect of approximately −2 points for a serious case and −0.21 per minor case. Asset-related measures, education and age are not statistically significant in the fitted model. Finally, 75.7% is a descriptive proportion showing that the large majority of respondents entered the survey without prior awareness of the disclosures.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