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RAG System - Architecture Overview</w:t>
      </w:r>
    </w:p>
    <w:p>
      <w:r>
        <w:t>This document describes the high-level architecture of an enterprise Retrieval-Augmented Generation (RAG) system that uses LanceDB for vector storage, SentenceTransformers for embeddings, and a local LLM via Ollama for answer generation.</w:t>
      </w:r>
    </w:p>
    <w:p>
      <w:pPr>
        <w:pStyle w:val="Heading2"/>
      </w:pPr>
      <w:r>
        <w:t>Core Components</w:t>
      </w:r>
    </w:p>
    <w:p>
      <w:r>
        <w:t>1. Ingestion &amp; Chunking Pipeline: Documents from multiple sources (TXT, Markdown, PDF, DOCX) are ingested and split into overlapping chunks. Overlap ensures important context that spans boundaries is preserved for retrieval.</w:t>
      </w:r>
    </w:p>
    <w:p>
      <w:r>
        <w:t>2. Embeddings: Each chunk is converted into a dense vector using a SentenceTransformers model (e.g., all-MiniLM-L6-v2).</w:t>
      </w:r>
    </w:p>
    <w:p>
      <w:r>
        <w:t>3. Vector Store (LanceDB): Chunk embeddings are stored in LanceDB along with metadata such as doc_key, doc_version, doc_type, source path, and (for PDFs) page_number. This enables fast similarity search and metadata-based filtering.</w:t>
      </w:r>
    </w:p>
    <w:p>
      <w:r>
        <w:t>4. Retrieval: At query time, the user query is embedded and used to perform vector search in LanceDB. The system retrieves the top-k most relevant chunks, along with their scores and metadata.</w:t>
      </w:r>
    </w:p>
    <w:p>
      <w:r>
        <w:t>5. Local LLM via Ollama: The retrieved chunks are passed as context to a locally hosted large language model running via Ollama. This avoids paid APIs and allows offline, privacy-preserving inference.</w:t>
      </w:r>
    </w:p>
    <w:p>
      <w:pPr>
        <w:pStyle w:val="Heading2"/>
      </w:pPr>
      <w:r>
        <w:t>Confidence and Abstention</w:t>
      </w:r>
    </w:p>
    <w:p>
      <w:r>
        <w:t>The system computes a confidence score using three signals: the top-1 similarity score, the average of the top-k scores, and the margin between the top-1 and top-2 scores. If confidence is below a threshold, the system abstains and returns a safe 'I do not know' style answer to reduce hallucinations.</w:t>
      </w:r>
    </w:p>
    <w:p>
      <w:pPr>
        <w:pStyle w:val="Heading2"/>
      </w:pPr>
      <w:r>
        <w:t>Intended Use</w:t>
      </w:r>
    </w:p>
    <w:p>
      <w:r>
        <w:t>This RAG architecture is designed to support technical and architectural Q&amp;A over internal enterprise documents. All answers are grounded in retrieved chunks, and source citations can be returned to make responses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