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608" w:rsidRPr="00DB4608" w:rsidRDefault="00DB4608" w:rsidP="00DB46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  <w14:ligatures w14:val="none"/>
        </w:rPr>
      </w:pPr>
      <w:r w:rsidRPr="00DB4608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  <w14:ligatures w14:val="none"/>
        </w:rPr>
        <w:t>Legal &amp; Regulatory Services</w:t>
      </w:r>
    </w:p>
    <w:p w:rsidR="00DB4608" w:rsidRPr="00DB4608" w:rsidRDefault="00DB4608" w:rsidP="00DB46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</w:pPr>
      <w:r w:rsidRPr="00DB4608"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  <w:t>Comprehensive legal solutions for businesses and individuals. Navigate complex legal landscapes with confidence.</w:t>
      </w:r>
    </w:p>
    <w:p w:rsidR="00D01C0E" w:rsidRDefault="00D01C0E"/>
    <w:p w:rsidR="00D01C0E" w:rsidRDefault="00D01C0E"/>
    <w:p w:rsidR="00D01C0E" w:rsidRPr="00D01C0E" w:rsidRDefault="00D01C0E" w:rsidP="00D01C0E">
      <w:pPr>
        <w:jc w:val="center"/>
        <w:rPr>
          <w:b/>
          <w:bCs/>
        </w:rPr>
      </w:pPr>
      <w:r w:rsidRPr="00D01C0E">
        <w:rPr>
          <w:b/>
          <w:bCs/>
        </w:rPr>
        <w:t xml:space="preserve">LEGAL AND REGULATRORY </w:t>
      </w:r>
      <w:r w:rsidRPr="00D01C0E">
        <w:rPr>
          <w:b/>
          <w:bCs/>
        </w:rPr>
        <w:br/>
      </w:r>
    </w:p>
    <w:p w:rsidR="00D01C0E" w:rsidRDefault="00D01C0E" w:rsidP="00D01C0E">
      <w:pPr>
        <w:autoSpaceDE w:val="0"/>
        <w:autoSpaceDN w:val="0"/>
        <w:adjustRightInd w:val="0"/>
        <w:rPr>
          <w:rFonts w:ascii="@¿Ü¯ò" w:hAnsi="@¿Ü¯ò" w:cs="@¿Ü¯ò"/>
          <w:b/>
          <w:bCs/>
          <w:kern w:val="0"/>
          <w:lang w:val="en-GB"/>
        </w:rPr>
      </w:pPr>
    </w:p>
    <w:p w:rsidR="00DB4608" w:rsidRDefault="00DB4608" w:rsidP="00DB460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</w:pPr>
      <w:r>
        <w:t>Intellectual Property</w:t>
      </w:r>
    </w:p>
    <w:p w:rsidR="00DB4608" w:rsidRDefault="00DB4608" w:rsidP="00DB4608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t>Comprehensive IP protection and management services</w:t>
      </w:r>
    </w:p>
    <w:p w:rsidR="00DB4608" w:rsidRDefault="00DB4608" w:rsidP="00DB4608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IP Prosecution &amp; Registration- TRADEMARK AND PATENTS</w:t>
      </w:r>
    </w:p>
    <w:p w:rsidR="00DB4608" w:rsidRDefault="00DB4608" w:rsidP="00DB4608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IP Litigation &amp; Enforcement</w:t>
      </w:r>
    </w:p>
    <w:p w:rsidR="00DB4608" w:rsidRDefault="00DB4608" w:rsidP="00DB4608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IP Licensing, Commercialization &amp; Technology Transfer</w:t>
      </w:r>
    </w:p>
    <w:p w:rsidR="00DB4608" w:rsidRDefault="00DB4608" w:rsidP="00DB4608">
      <w:pPr>
        <w:pStyle w:val="flex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IP Audits &amp; Protection Strategies</w:t>
      </w:r>
    </w:p>
    <w:p w:rsidR="00DB4608" w:rsidRDefault="00DB4608" w:rsidP="00DB4608">
      <w:pPr>
        <w:shd w:val="clear" w:color="auto" w:fill="FFFFFF"/>
        <w:rPr>
          <w:rFonts w:ascii="Arial" w:hAnsi="Arial" w:cs="Arial"/>
          <w:color w:val="030712"/>
          <w:sz w:val="27"/>
          <w:szCs w:val="27"/>
        </w:rPr>
      </w:pPr>
    </w:p>
    <w:p w:rsidR="00D01C0E" w:rsidRDefault="00D01C0E" w:rsidP="00D01C0E">
      <w:pPr>
        <w:rPr>
          <w:rFonts w:ascii="@¿Ü¯ò" w:hAnsi="@¿Ü¯ò" w:cs="@¿Ü¯ò"/>
          <w:kern w:val="0"/>
          <w:lang w:val="en-GB"/>
        </w:rPr>
      </w:pPr>
    </w:p>
    <w:p w:rsidR="00DB4608" w:rsidRDefault="00DB4608" w:rsidP="00DB460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Technology &amp; Cybersecurity Law</w:t>
      </w:r>
    </w:p>
    <w:p w:rsidR="00DB4608" w:rsidRDefault="00DB4608" w:rsidP="00DB4608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Digital age legal protection and compliance</w:t>
      </w:r>
    </w:p>
    <w:p w:rsidR="00DB4608" w:rsidRDefault="00DB4608" w:rsidP="00DB4608">
      <w:pPr>
        <w:pStyle w:val="flex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Data Protection &amp; Privacy Compliance</w:t>
      </w:r>
    </w:p>
    <w:p w:rsidR="00DB4608" w:rsidRDefault="00DB4608" w:rsidP="00DB4608">
      <w:pPr>
        <w:pStyle w:val="flex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IT Contracts &amp; Technology Transactions</w:t>
      </w:r>
    </w:p>
    <w:p w:rsidR="00DB4608" w:rsidRDefault="00DB4608" w:rsidP="00DB4608">
      <w:pPr>
        <w:pStyle w:val="flex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Cybersecurity &amp; Risk Management Advisory</w:t>
      </w:r>
    </w:p>
    <w:p w:rsidR="00DB4608" w:rsidRDefault="00DB4608" w:rsidP="00DB4608">
      <w:pPr>
        <w:pStyle w:val="flex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Digital Forensics &amp; Cyber Crime Advisory</w:t>
      </w:r>
    </w:p>
    <w:p w:rsidR="00D01C0E" w:rsidRDefault="00D01C0E" w:rsidP="00D01C0E"/>
    <w:p w:rsidR="00DB4608" w:rsidRDefault="00DB4608" w:rsidP="00DB460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Commercial Law</w:t>
      </w:r>
    </w:p>
    <w:p w:rsidR="00DB4608" w:rsidRDefault="00DB4608" w:rsidP="00DB4608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Business legal support and compliance</w:t>
      </w:r>
    </w:p>
    <w:p w:rsidR="00DB4608" w:rsidRDefault="00DB4608" w:rsidP="00DB4608">
      <w:pPr>
        <w:pStyle w:val="fle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Contract Drafting &amp; Negotiation</w:t>
      </w:r>
    </w:p>
    <w:p w:rsidR="00DB4608" w:rsidRDefault="00DB4608" w:rsidP="00DB4608">
      <w:pPr>
        <w:pStyle w:val="fle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Regulatory Compliance</w:t>
      </w:r>
    </w:p>
    <w:p w:rsidR="00DB4608" w:rsidRDefault="00DB4608" w:rsidP="00DB4608">
      <w:pPr>
        <w:pStyle w:val="fle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Banking &amp; Finance Advisory</w:t>
      </w:r>
    </w:p>
    <w:p w:rsidR="00D01C0E" w:rsidRDefault="00D01C0E" w:rsidP="00D01C0E">
      <w:pPr>
        <w:rPr>
          <w:rFonts w:ascii="@¿Ü¯ò" w:hAnsi="@¿Ü¯ò" w:cs="@¿Ü¯ò"/>
          <w:kern w:val="0"/>
          <w:lang w:val="en-GB"/>
        </w:rPr>
      </w:pPr>
    </w:p>
    <w:p w:rsidR="00DB4608" w:rsidRDefault="00DB4608" w:rsidP="00DB460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</w:pPr>
      <w:r>
        <w:t xml:space="preserve">Employment &amp; </w:t>
      </w:r>
      <w:proofErr w:type="spellStart"/>
      <w:r>
        <w:t>Labor</w:t>
      </w:r>
      <w:proofErr w:type="spellEnd"/>
      <w:r>
        <w:t xml:space="preserve"> Laws</w:t>
      </w:r>
    </w:p>
    <w:p w:rsidR="00DB4608" w:rsidRDefault="00DB4608" w:rsidP="00DB4608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t>Workplace legal compliance and advisory</w:t>
      </w:r>
    </w:p>
    <w:p w:rsidR="00DB4608" w:rsidRDefault="00DB4608" w:rsidP="00DB4608">
      <w:pPr>
        <w:pStyle w:val="flex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Employment Contracts &amp; Policies</w:t>
      </w:r>
    </w:p>
    <w:p w:rsidR="00DB4608" w:rsidRDefault="00DB4608" w:rsidP="00DB4608">
      <w:pPr>
        <w:pStyle w:val="flex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proofErr w:type="spellStart"/>
      <w:r>
        <w:rPr>
          <w:bdr w:val="single" w:sz="2" w:space="0" w:color="auto" w:frame="1"/>
        </w:rPr>
        <w:t>Labor</w:t>
      </w:r>
      <w:proofErr w:type="spellEnd"/>
      <w:r>
        <w:rPr>
          <w:bdr w:val="single" w:sz="2" w:space="0" w:color="auto" w:frame="1"/>
        </w:rPr>
        <w:t xml:space="preserve"> Law Compliance &amp; Advisory</w:t>
      </w:r>
    </w:p>
    <w:p w:rsidR="00DB4608" w:rsidRDefault="00DB4608" w:rsidP="00DB4608">
      <w:pPr>
        <w:pStyle w:val="flex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lastRenderedPageBreak/>
        <w:t>Regulatory Representation</w:t>
      </w:r>
    </w:p>
    <w:p w:rsidR="00DB4608" w:rsidRDefault="00DB4608" w:rsidP="00DB4608">
      <w:pPr>
        <w:pStyle w:val="flex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Workplace Investigations</w:t>
      </w:r>
    </w:p>
    <w:p w:rsidR="00DB4608" w:rsidRDefault="00DB4608" w:rsidP="00DB4608">
      <w:pPr>
        <w:shd w:val="clear" w:color="auto" w:fill="FFFFFF"/>
        <w:rPr>
          <w:rFonts w:ascii="Arial" w:hAnsi="Arial" w:cs="Arial"/>
          <w:color w:val="030712"/>
          <w:sz w:val="27"/>
          <w:szCs w:val="27"/>
        </w:rPr>
      </w:pPr>
    </w:p>
    <w:p w:rsidR="00DB4608" w:rsidRDefault="00DB4608" w:rsidP="00DB460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General Corporate Advisory</w:t>
      </w:r>
    </w:p>
    <w:p w:rsidR="00DB4608" w:rsidRDefault="00DB4608" w:rsidP="00DB4608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Comprehensive business legal support</w:t>
      </w:r>
    </w:p>
    <w:p w:rsidR="00DB4608" w:rsidRDefault="00DB4608" w:rsidP="00DB4608">
      <w:pPr>
        <w:pStyle w:val="flex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Business Formation &amp; Set-up</w:t>
      </w:r>
    </w:p>
    <w:p w:rsidR="00DB4608" w:rsidRDefault="00DB4608" w:rsidP="00DB4608">
      <w:pPr>
        <w:pStyle w:val="flex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Legal Risk Assessments</w:t>
      </w:r>
    </w:p>
    <w:p w:rsidR="00DB4608" w:rsidRDefault="00DB4608" w:rsidP="00DB4608">
      <w:pPr>
        <w:pStyle w:val="flex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Regulatory Compliance Audits</w:t>
      </w:r>
    </w:p>
    <w:p w:rsidR="00DB4608" w:rsidRDefault="00DB4608" w:rsidP="00DB4608">
      <w:pPr>
        <w:pStyle w:val="flex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General Legal Advisory &amp; Opinions</w:t>
      </w:r>
    </w:p>
    <w:p w:rsidR="00DB4608" w:rsidRDefault="00DB4608" w:rsidP="00DB460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</w:pPr>
      <w:r>
        <w:t>Banking &amp; Finance Laws</w:t>
      </w:r>
    </w:p>
    <w:p w:rsidR="00DB4608" w:rsidRDefault="00DB4608" w:rsidP="00DB4608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t>Financial sector legal compliance and advisory</w:t>
      </w:r>
    </w:p>
    <w:p w:rsidR="00DB4608" w:rsidRDefault="00DB4608" w:rsidP="00DB4608">
      <w:pPr>
        <w:pStyle w:val="fle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SARFAESI Act Compliance and Proceedings</w:t>
      </w:r>
    </w:p>
    <w:p w:rsidR="00DB4608" w:rsidRDefault="00DB4608" w:rsidP="00DB4608">
      <w:pPr>
        <w:pStyle w:val="fle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Debt Recovery Tribunal (DRT) Representation</w:t>
      </w:r>
    </w:p>
    <w:p w:rsidR="00DB4608" w:rsidRDefault="00DB4608" w:rsidP="00DB4608">
      <w:pPr>
        <w:pStyle w:val="fle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Banking Regulation Act Advisory</w:t>
      </w:r>
    </w:p>
    <w:p w:rsidR="00DB4608" w:rsidRDefault="00DB4608" w:rsidP="00DB4608">
      <w:pPr>
        <w:pStyle w:val="fle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Financial Institution Regulatory Compliance</w:t>
      </w:r>
    </w:p>
    <w:p w:rsidR="00DB4608" w:rsidRDefault="00DB4608" w:rsidP="00DB4608">
      <w:pPr>
        <w:pStyle w:val="fle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Banking Fraud Investigation and Litigation</w:t>
      </w:r>
    </w:p>
    <w:p w:rsidR="00DB4608" w:rsidRDefault="00DB4608" w:rsidP="00DB4608">
      <w:pPr>
        <w:pStyle w:val="fle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Negotiable Instruments Act Matters</w:t>
      </w:r>
    </w:p>
    <w:p w:rsidR="00DB4608" w:rsidRDefault="00DB4608" w:rsidP="00DB4608">
      <w:pPr>
        <w:pStyle w:val="fle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bdr w:val="single" w:sz="2" w:space="0" w:color="auto" w:frame="1"/>
        </w:rPr>
        <w:t>Anti-Money Laundering (AML) Compliance</w:t>
      </w:r>
    </w:p>
    <w:p w:rsidR="00DB4608" w:rsidRDefault="00DB4608" w:rsidP="00DB4608">
      <w:pPr>
        <w:shd w:val="clear" w:color="auto" w:fill="FFFFFF"/>
        <w:rPr>
          <w:rFonts w:ascii="Arial" w:hAnsi="Arial" w:cs="Arial"/>
          <w:color w:val="030712"/>
          <w:sz w:val="27"/>
          <w:szCs w:val="27"/>
        </w:rPr>
      </w:pPr>
    </w:p>
    <w:p w:rsidR="00DB4608" w:rsidRDefault="00DB4608" w:rsidP="00DB460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Real Estate &amp; Property Laws</w:t>
      </w:r>
    </w:p>
    <w:p w:rsidR="00DB4608" w:rsidRDefault="00DB4608" w:rsidP="00DB4608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Property law and transaction services</w:t>
      </w:r>
    </w:p>
    <w:p w:rsidR="00DB4608" w:rsidRDefault="00DB4608" w:rsidP="00DB4608">
      <w:pPr>
        <w:pStyle w:val="flex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Property Transactions &amp; Conveyancing</w:t>
      </w:r>
    </w:p>
    <w:p w:rsidR="00DB4608" w:rsidRDefault="00DB4608" w:rsidP="00DB4608">
      <w:pPr>
        <w:pStyle w:val="flex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Land Acquisition &amp; Environmental Clearances</w:t>
      </w:r>
    </w:p>
    <w:p w:rsidR="00DB4608" w:rsidRDefault="00DB4608" w:rsidP="00DB4608">
      <w:pPr>
        <w:pStyle w:val="flex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Property Disputes &amp; Litigation</w:t>
      </w:r>
    </w:p>
    <w:p w:rsidR="00DB4608" w:rsidRDefault="00DB4608" w:rsidP="00DB4608">
      <w:pPr>
        <w:pStyle w:val="flex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Real Estate Due Diligence</w:t>
      </w:r>
    </w:p>
    <w:p w:rsidR="00D01C0E" w:rsidRDefault="00D01C0E" w:rsidP="00D01C0E"/>
    <w:p w:rsidR="00D01C0E" w:rsidRDefault="00D01C0E" w:rsidP="00D01C0E"/>
    <w:p w:rsidR="00D01C0E" w:rsidRDefault="00D01C0E" w:rsidP="00D01C0E">
      <w:pPr>
        <w:autoSpaceDE w:val="0"/>
        <w:autoSpaceDN w:val="0"/>
        <w:adjustRightInd w:val="0"/>
        <w:rPr>
          <w:rFonts w:ascii="@¿Ü¯ò" w:hAnsi="@¿Ü¯ò" w:cs="@¿Ü¯ò"/>
          <w:kern w:val="0"/>
          <w:lang w:val="en-GB"/>
        </w:rPr>
      </w:pPr>
    </w:p>
    <w:p w:rsidR="00D01C0E" w:rsidRDefault="00D01C0E" w:rsidP="00D01C0E">
      <w:pPr>
        <w:rPr>
          <w:rFonts w:ascii="@¿Ü¯ò" w:hAnsi="@¿Ü¯ò" w:cs="@¿Ü¯ò"/>
          <w:kern w:val="0"/>
          <w:lang w:val="en-GB"/>
        </w:rPr>
      </w:pPr>
    </w:p>
    <w:p w:rsidR="00DB4608" w:rsidRDefault="00DB4608" w:rsidP="00DB460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Litigation &amp; Dispute Resolution</w:t>
      </w:r>
    </w:p>
    <w:p w:rsidR="00DB4608" w:rsidRDefault="00DB4608" w:rsidP="00DB4608">
      <w:pPr>
        <w:pStyle w:val="text-gray-6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</w:rPr>
        <w:t>Comprehensive dispute resolution services</w:t>
      </w:r>
    </w:p>
    <w:p w:rsidR="00DB4608" w:rsidRDefault="00DB4608" w:rsidP="00DB4608">
      <w:pPr>
        <w:pStyle w:val="flex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Civil &amp; Commercial Litigation</w:t>
      </w:r>
    </w:p>
    <w:p w:rsidR="00DB4608" w:rsidRDefault="00DB4608" w:rsidP="00DB4608">
      <w:pPr>
        <w:pStyle w:val="flex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Criminal Litigation</w:t>
      </w:r>
    </w:p>
    <w:p w:rsidR="00DB4608" w:rsidRDefault="00DB4608" w:rsidP="00DB4608">
      <w:pPr>
        <w:pStyle w:val="flex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t>Arbitration &amp; Mediation</w:t>
      </w:r>
    </w:p>
    <w:p w:rsidR="00DB4608" w:rsidRDefault="00DB4608" w:rsidP="00DB4608">
      <w:pPr>
        <w:pStyle w:val="flex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030712"/>
          <w:sz w:val="27"/>
          <w:szCs w:val="27"/>
        </w:rPr>
      </w:pPr>
      <w:r>
        <w:rPr>
          <w:rFonts w:ascii="Arial" w:hAnsi="Arial" w:cs="Arial"/>
          <w:color w:val="030712"/>
          <w:sz w:val="27"/>
          <w:szCs w:val="27"/>
          <w:bdr w:val="single" w:sz="2" w:space="0" w:color="auto" w:frame="1"/>
        </w:rPr>
        <w:lastRenderedPageBreak/>
        <w:t>Debt Recovery &amp; Enforcement Proceedings</w:t>
      </w:r>
    </w:p>
    <w:p w:rsidR="00D01C0E" w:rsidRDefault="00D01C0E" w:rsidP="00DB4608"/>
    <w:sectPr w:rsidR="00D0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¿Ü¯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7CEE"/>
    <w:multiLevelType w:val="multilevel"/>
    <w:tmpl w:val="2D5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8363B"/>
    <w:multiLevelType w:val="multilevel"/>
    <w:tmpl w:val="520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B77AF"/>
    <w:multiLevelType w:val="multilevel"/>
    <w:tmpl w:val="A716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B3747"/>
    <w:multiLevelType w:val="multilevel"/>
    <w:tmpl w:val="BEE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7798E"/>
    <w:multiLevelType w:val="multilevel"/>
    <w:tmpl w:val="FF1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C790C"/>
    <w:multiLevelType w:val="multilevel"/>
    <w:tmpl w:val="4890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27675"/>
    <w:multiLevelType w:val="multilevel"/>
    <w:tmpl w:val="7FE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753D1"/>
    <w:multiLevelType w:val="multilevel"/>
    <w:tmpl w:val="869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455295">
    <w:abstractNumId w:val="6"/>
  </w:num>
  <w:num w:numId="2" w16cid:durableId="2036539707">
    <w:abstractNumId w:val="5"/>
  </w:num>
  <w:num w:numId="3" w16cid:durableId="1703019821">
    <w:abstractNumId w:val="3"/>
  </w:num>
  <w:num w:numId="4" w16cid:durableId="325479671">
    <w:abstractNumId w:val="1"/>
  </w:num>
  <w:num w:numId="5" w16cid:durableId="1339428628">
    <w:abstractNumId w:val="7"/>
  </w:num>
  <w:num w:numId="6" w16cid:durableId="700982797">
    <w:abstractNumId w:val="4"/>
  </w:num>
  <w:num w:numId="7" w16cid:durableId="1622222399">
    <w:abstractNumId w:val="2"/>
  </w:num>
  <w:num w:numId="8" w16cid:durableId="33576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0E"/>
    <w:rsid w:val="00C822D0"/>
    <w:rsid w:val="00D01C0E"/>
    <w:rsid w:val="00DB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19D67"/>
  <w15:chartTrackingRefBased/>
  <w15:docId w15:val="{A14A650C-FEA4-5244-9B1E-FEDD84B6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6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6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6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text-xl">
    <w:name w:val="text-xl"/>
    <w:basedOn w:val="Normal"/>
    <w:rsid w:val="00DB46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60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-gray-600">
    <w:name w:val="text-gray-600"/>
    <w:basedOn w:val="Normal"/>
    <w:rsid w:val="00DB46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flex">
    <w:name w:val="flex"/>
    <w:basedOn w:val="Normal"/>
    <w:rsid w:val="00DB46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7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7629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9671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94878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6153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58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5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663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956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56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6696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3134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6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158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7779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332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24736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747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7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1954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052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358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58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146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4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31766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6997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16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2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6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4948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7415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9109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48721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168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7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761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775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1894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10334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6711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8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524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9000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017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85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436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8995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9390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076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349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387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99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4949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769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000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092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369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8827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733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439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3668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2369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67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2025-01-04T08:58:00Z</dcterms:created>
  <dcterms:modified xsi:type="dcterms:W3CDTF">2025-02-16T08:51:00Z</dcterms:modified>
</cp:coreProperties>
</file>