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07F" w:rsidRPr="00B6707F" w:rsidRDefault="00B6707F" w:rsidP="00B670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3A8A"/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GB"/>
          <w14:ligatures w14:val="none"/>
        </w:rPr>
      </w:pPr>
      <w:r w:rsidRPr="00B6707F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GB"/>
          <w14:ligatures w14:val="none"/>
        </w:rPr>
        <w:t>Market</w:t>
      </w:r>
      <w:r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GB"/>
          <w14:ligatures w14:val="none"/>
        </w:rPr>
        <w:t xml:space="preserve"> &amp; Product </w:t>
      </w:r>
      <w:r w:rsidRPr="00B6707F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GB"/>
          <w14:ligatures w14:val="none"/>
        </w:rPr>
        <w:t xml:space="preserve"> Research Services</w:t>
      </w:r>
    </w:p>
    <w:p w:rsidR="00B6707F" w:rsidRDefault="00B6707F" w:rsidP="00B670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3A8A"/>
        <w:spacing w:before="100" w:beforeAutospacing="1" w:after="100" w:afterAutospacing="1"/>
        <w:jc w:val="center"/>
        <w:rPr>
          <w:rFonts w:ascii="Arial" w:eastAsia="Times New Roman" w:hAnsi="Arial" w:cs="Arial"/>
          <w:color w:val="FFFFFF"/>
          <w:kern w:val="0"/>
          <w:lang w:eastAsia="en-GB"/>
          <w14:ligatures w14:val="none"/>
        </w:rPr>
      </w:pPr>
      <w:r w:rsidRPr="00B6707F">
        <w:rPr>
          <w:rFonts w:ascii="Arial" w:eastAsia="Times New Roman" w:hAnsi="Arial" w:cs="Arial"/>
          <w:color w:val="FFFFFF"/>
          <w:kern w:val="0"/>
          <w:lang w:eastAsia="en-GB"/>
          <w14:ligatures w14:val="none"/>
        </w:rPr>
        <w:t>Data-driven insights to power your business decisions. Understand your market, customers, and competition with precision.</w:t>
      </w:r>
    </w:p>
    <w:p w:rsidR="00B6707F" w:rsidRDefault="00B6707F" w:rsidP="00B670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3A8A"/>
        <w:spacing w:before="100" w:beforeAutospacing="1" w:after="100" w:afterAutospacing="1"/>
        <w:jc w:val="center"/>
        <w:rPr>
          <w:rFonts w:ascii="Arial" w:eastAsia="Times New Roman" w:hAnsi="Arial" w:cs="Arial"/>
          <w:color w:val="FFFFFF"/>
          <w:kern w:val="0"/>
          <w:lang w:eastAsia="en-GB"/>
          <w14:ligatures w14:val="none"/>
        </w:rPr>
      </w:pPr>
    </w:p>
    <w:p w:rsidR="00B6707F" w:rsidRDefault="00B6707F" w:rsidP="00B6707F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jc w:val="center"/>
        <w:rPr>
          <w:rFonts w:ascii="Arial" w:hAnsi="Arial" w:cs="Arial"/>
          <w:color w:val="030712"/>
        </w:rPr>
      </w:pPr>
      <w:r>
        <w:rPr>
          <w:rFonts w:ascii="Arial" w:hAnsi="Arial" w:cs="Arial"/>
          <w:color w:val="030712"/>
        </w:rPr>
        <w:t>Our Research Services</w:t>
      </w:r>
    </w:p>
    <w:p w:rsidR="00B6707F" w:rsidRDefault="00B6707F" w:rsidP="00B670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3A8A"/>
        <w:spacing w:before="100" w:beforeAutospacing="1" w:after="100" w:afterAutospacing="1"/>
        <w:jc w:val="center"/>
        <w:rPr>
          <w:rFonts w:ascii="Arial" w:eastAsia="Times New Roman" w:hAnsi="Arial" w:cs="Arial"/>
          <w:color w:val="FFFFFF"/>
          <w:kern w:val="0"/>
          <w:lang w:eastAsia="en-GB"/>
          <w14:ligatures w14:val="none"/>
        </w:rPr>
      </w:pPr>
    </w:p>
    <w:p w:rsidR="00435610" w:rsidRDefault="00435610" w:rsidP="00B670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3A8A"/>
        <w:spacing w:before="100" w:beforeAutospacing="1" w:after="100" w:afterAutospacing="1"/>
        <w:jc w:val="center"/>
        <w:rPr>
          <w:rFonts w:ascii="Arial" w:eastAsia="Times New Roman" w:hAnsi="Arial" w:cs="Arial"/>
          <w:color w:val="FFFFFF"/>
          <w:kern w:val="0"/>
          <w:lang w:eastAsia="en-GB"/>
          <w14:ligatures w14:val="none"/>
        </w:rPr>
      </w:pPr>
    </w:p>
    <w:p w:rsidR="00435610" w:rsidRPr="00B6707F" w:rsidRDefault="00435610" w:rsidP="00B670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E3A8A"/>
        <w:spacing w:before="100" w:beforeAutospacing="1" w:after="100" w:afterAutospacing="1"/>
        <w:jc w:val="center"/>
        <w:rPr>
          <w:rFonts w:ascii="Arial" w:eastAsia="Times New Roman" w:hAnsi="Arial" w:cs="Arial"/>
          <w:color w:val="FFFFFF"/>
          <w:kern w:val="0"/>
          <w:lang w:eastAsia="en-GB"/>
          <w14:ligatures w14:val="none"/>
        </w:rPr>
      </w:pPr>
    </w:p>
    <w:p w:rsidR="00B6707F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:rsidR="00435610" w:rsidRDefault="00435610" w:rsidP="00435610">
      <w:pPr>
        <w:pStyle w:val="Heading2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Our Services</w:t>
      </w:r>
    </w:p>
    <w:p w:rsidR="00435610" w:rsidRDefault="00435610" w:rsidP="00435610">
      <w:pPr>
        <w:numPr>
          <w:ilvl w:val="0"/>
          <w:numId w:val="9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Legal and Regulatory Compliances </w:t>
      </w:r>
    </w:p>
    <w:p w:rsidR="00435610" w:rsidRDefault="00435610" w:rsidP="00435610">
      <w:pPr>
        <w:numPr>
          <w:ilvl w:val="0"/>
          <w:numId w:val="9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Human Capital Management </w:t>
      </w:r>
    </w:p>
    <w:p w:rsidR="00435610" w:rsidRDefault="00435610" w:rsidP="00435610">
      <w:pPr>
        <w:numPr>
          <w:ilvl w:val="0"/>
          <w:numId w:val="9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Tax Advisory </w:t>
      </w:r>
    </w:p>
    <w:p w:rsidR="00435610" w:rsidRDefault="00435610" w:rsidP="00435610">
      <w:pPr>
        <w:numPr>
          <w:ilvl w:val="0"/>
          <w:numId w:val="9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Market and Product research</w:t>
      </w:r>
    </w:p>
    <w:p w:rsidR="00435610" w:rsidRDefault="00435610" w:rsidP="00435610">
      <w:pPr>
        <w:numPr>
          <w:ilvl w:val="0"/>
          <w:numId w:val="9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Marketing</w:t>
      </w: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Pr="00435610" w:rsidRDefault="00435610" w:rsidP="004356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61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Empowering businesses with data-driven insights for strategic growth.</w:t>
      </w:r>
    </w:p>
    <w:p w:rsidR="00435610" w:rsidRPr="00435610" w:rsidRDefault="00435610" w:rsidP="004356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56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Understanding your market, customers, and competition is crucial for making informed business decisions. Our research services provide deep, actionable intelligence to help you navigate market trends, consumer </w:t>
      </w:r>
      <w:proofErr w:type="spellStart"/>
      <w:r w:rsidRPr="004356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4356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product viability. Whether you are launching a new product, expanding into a new market, or refining your strategy, we offer comprehensive solutions to minimize risks and maximize opportunities.</w:t>
      </w:r>
    </w:p>
    <w:p w:rsidR="00435610" w:rsidRDefault="00435610" w:rsidP="00B670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35610" w:rsidRDefault="00435610" w:rsidP="00435610">
      <w:pPr>
        <w:pStyle w:val="Heading3"/>
      </w:pPr>
      <w:r>
        <w:rPr>
          <w:rStyle w:val="Strong"/>
          <w:b w:val="0"/>
          <w:bCs w:val="0"/>
        </w:rPr>
        <w:lastRenderedPageBreak/>
        <w:t>Our Research Services</w:t>
      </w:r>
    </w:p>
    <w:p w:rsidR="00435610" w:rsidRDefault="00435610" w:rsidP="00435610">
      <w:pPr>
        <w:pStyle w:val="Heading4"/>
      </w:pPr>
      <w:r>
        <w:rPr>
          <w:rStyle w:val="Strong"/>
          <w:b w:val="0"/>
          <w:bCs w:val="0"/>
        </w:rPr>
        <w:t>1. Forecasting Studies</w:t>
      </w:r>
    </w:p>
    <w:p w:rsidR="00435610" w:rsidRDefault="00435610" w:rsidP="00435610">
      <w:pPr>
        <w:spacing w:before="100" w:beforeAutospacing="1" w:after="100" w:afterAutospacing="1"/>
      </w:pPr>
      <w:r>
        <w:t>Anticipate market trends and plan for future growth:</w:t>
      </w:r>
    </w:p>
    <w:p w:rsidR="00435610" w:rsidRDefault="00435610" w:rsidP="00435610">
      <w:pPr>
        <w:pStyle w:val="Heading5"/>
      </w:pPr>
      <w:r>
        <w:rPr>
          <w:rStyle w:val="Strong"/>
          <w:b w:val="0"/>
          <w:bCs w:val="0"/>
        </w:rPr>
        <w:t>Market Forecasting</w:t>
      </w:r>
    </w:p>
    <w:p w:rsidR="00435610" w:rsidRDefault="00435610" w:rsidP="00435610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Volume &amp; Demand Estimation</w:t>
      </w:r>
      <w:r>
        <w:t xml:space="preserve"> – Predicting future product/service demand.</w:t>
      </w:r>
    </w:p>
    <w:p w:rsidR="00435610" w:rsidRDefault="00435610" w:rsidP="00435610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Market Size Analysis</w:t>
      </w:r>
      <w:r>
        <w:t xml:space="preserve"> – Evaluating potential market reach.</w:t>
      </w:r>
    </w:p>
    <w:p w:rsidR="00435610" w:rsidRDefault="00435610" w:rsidP="00435610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Growth Trend Prediction</w:t>
      </w:r>
      <w:r>
        <w:t xml:space="preserve"> – Identifying key industry growth patterns.</w:t>
      </w:r>
    </w:p>
    <w:p w:rsidR="00435610" w:rsidRDefault="00435610" w:rsidP="00435610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Competitive Landscape Assessment</w:t>
      </w:r>
      <w:r>
        <w:t xml:space="preserve"> – </w:t>
      </w:r>
      <w:proofErr w:type="spellStart"/>
      <w:r>
        <w:t>Analyzing</w:t>
      </w:r>
      <w:proofErr w:type="spellEnd"/>
      <w:r>
        <w:t xml:space="preserve"> competitor positioning and strategies.</w:t>
      </w:r>
    </w:p>
    <w:p w:rsidR="00435610" w:rsidRDefault="00435610" w:rsidP="00435610">
      <w:pPr>
        <w:pStyle w:val="Heading5"/>
      </w:pPr>
      <w:r>
        <w:rPr>
          <w:rStyle w:val="Strong"/>
          <w:b w:val="0"/>
          <w:bCs w:val="0"/>
        </w:rPr>
        <w:t>Industry Analysis</w:t>
      </w:r>
    </w:p>
    <w:p w:rsidR="00435610" w:rsidRDefault="00435610" w:rsidP="00435610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Sector-Specific Forecasting</w:t>
      </w:r>
      <w:r>
        <w:t xml:space="preserve"> – Understanding industry-specific opportunities and challenges.</w:t>
      </w:r>
    </w:p>
    <w:p w:rsidR="00435610" w:rsidRDefault="00435610" w:rsidP="00435610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Economic Impact Studies</w:t>
      </w:r>
      <w:r>
        <w:t xml:space="preserve"> – Assessing market influence on business and policy decisions.</w:t>
      </w:r>
    </w:p>
    <w:p w:rsidR="00435610" w:rsidRDefault="00435610" w:rsidP="00435610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Technology Adoption Trends</w:t>
      </w:r>
      <w:r>
        <w:t xml:space="preserve"> – Evaluating emerging technologies in various sectors.</w:t>
      </w:r>
    </w:p>
    <w:p w:rsidR="00435610" w:rsidRDefault="00435610" w:rsidP="00435610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Risk Assessment</w:t>
      </w:r>
      <w:r>
        <w:t xml:space="preserve"> – Identifying potential threats and mitigating business risks.</w:t>
      </w:r>
    </w:p>
    <w:p w:rsidR="00435610" w:rsidRDefault="00435610" w:rsidP="00435610">
      <w:pPr>
        <w:pStyle w:val="Heading4"/>
      </w:pPr>
      <w:r>
        <w:rPr>
          <w:rStyle w:val="Strong"/>
          <w:b w:val="0"/>
          <w:bCs w:val="0"/>
        </w:rPr>
        <w:t>2. Product &amp; Concept Testing</w:t>
      </w:r>
    </w:p>
    <w:p w:rsidR="00435610" w:rsidRDefault="00435610" w:rsidP="00435610">
      <w:pPr>
        <w:spacing w:before="100" w:beforeAutospacing="1" w:after="100" w:afterAutospacing="1"/>
      </w:pPr>
      <w:r>
        <w:t>Ensure product success through rigorous testing and consumer validation:</w:t>
      </w:r>
    </w:p>
    <w:p w:rsidR="00435610" w:rsidRDefault="00435610" w:rsidP="00435610">
      <w:pPr>
        <w:pStyle w:val="Heading5"/>
      </w:pPr>
      <w:r>
        <w:rPr>
          <w:rStyle w:val="Strong"/>
          <w:b w:val="0"/>
          <w:bCs w:val="0"/>
        </w:rPr>
        <w:t>Product Testing</w:t>
      </w:r>
    </w:p>
    <w:p w:rsidR="00435610" w:rsidRDefault="00435610" w:rsidP="00435610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Usage &amp; Attitude Studies</w:t>
      </w:r>
      <w:r>
        <w:t xml:space="preserve"> – Understanding consumer interaction with products.</w:t>
      </w:r>
    </w:p>
    <w:p w:rsidR="00435610" w:rsidRDefault="00435610" w:rsidP="00435610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Product Satisfaction Analysis</w:t>
      </w:r>
      <w:r>
        <w:t xml:space="preserve"> – Measuring customer experience and preferences.</w:t>
      </w:r>
    </w:p>
    <w:p w:rsidR="00435610" w:rsidRDefault="00435610" w:rsidP="00435610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Competitive Product Benchmarking</w:t>
      </w:r>
      <w:r>
        <w:t xml:space="preserve"> – Comparing products with competitors for strategic advantage.</w:t>
      </w:r>
    </w:p>
    <w:p w:rsidR="00435610" w:rsidRDefault="00435610" w:rsidP="00435610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Package Testing</w:t>
      </w:r>
      <w:r>
        <w:t xml:space="preserve"> – Evaluating packaging effectiveness and appeal.</w:t>
      </w:r>
    </w:p>
    <w:p w:rsidR="00435610" w:rsidRDefault="00435610" w:rsidP="00435610">
      <w:pPr>
        <w:pStyle w:val="Heading5"/>
      </w:pPr>
      <w:r>
        <w:rPr>
          <w:rStyle w:val="Strong"/>
          <w:b w:val="0"/>
          <w:bCs w:val="0"/>
        </w:rPr>
        <w:t>Concept Testing</w:t>
      </w:r>
    </w:p>
    <w:p w:rsidR="00435610" w:rsidRDefault="00435610" w:rsidP="00435610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Concept Evaluation</w:t>
      </w:r>
      <w:r>
        <w:t xml:space="preserve"> – Testing new ideas before launch.</w:t>
      </w:r>
    </w:p>
    <w:p w:rsidR="00435610" w:rsidRDefault="00435610" w:rsidP="00435610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Price Sensitivity Testing</w:t>
      </w:r>
      <w:r>
        <w:t xml:space="preserve"> – Determining optimal pricing strategies.</w:t>
      </w:r>
    </w:p>
    <w:p w:rsidR="00435610" w:rsidRDefault="00435610" w:rsidP="00435610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Brand Concept Validation</w:t>
      </w:r>
      <w:r>
        <w:t xml:space="preserve"> – Assessing how well new brand concepts resonate with the market.</w:t>
      </w:r>
    </w:p>
    <w:p w:rsidR="00435610" w:rsidRDefault="00435610" w:rsidP="00435610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Market Acceptance Studies</w:t>
      </w:r>
      <w:r>
        <w:t xml:space="preserve"> – Measuring consumer acceptance of new products.</w:t>
      </w:r>
    </w:p>
    <w:p w:rsidR="00435610" w:rsidRDefault="00435610" w:rsidP="00435610">
      <w:pPr>
        <w:pStyle w:val="Heading4"/>
      </w:pPr>
      <w:r>
        <w:rPr>
          <w:rStyle w:val="Strong"/>
          <w:b w:val="0"/>
          <w:bCs w:val="0"/>
        </w:rPr>
        <w:t>3. Consumer Research</w:t>
      </w:r>
    </w:p>
    <w:p w:rsidR="00435610" w:rsidRDefault="00435610" w:rsidP="00435610">
      <w:pPr>
        <w:spacing w:before="100" w:beforeAutospacing="1" w:after="100" w:afterAutospacing="1"/>
      </w:pPr>
      <w:r>
        <w:t xml:space="preserve">Gain deep insights into consumer </w:t>
      </w:r>
      <w:proofErr w:type="spellStart"/>
      <w:r>
        <w:t>behavior</w:t>
      </w:r>
      <w:proofErr w:type="spellEnd"/>
      <w:r>
        <w:t xml:space="preserve"> and market trends:</w:t>
      </w:r>
    </w:p>
    <w:p w:rsidR="00435610" w:rsidRDefault="00435610" w:rsidP="00435610">
      <w:pPr>
        <w:pStyle w:val="Heading5"/>
      </w:pPr>
      <w:r>
        <w:rPr>
          <w:rStyle w:val="Strong"/>
          <w:b w:val="0"/>
          <w:bCs w:val="0"/>
        </w:rPr>
        <w:t>Consumer Insights</w:t>
      </w:r>
    </w:p>
    <w:p w:rsidR="00435610" w:rsidRDefault="00435610" w:rsidP="00435610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 xml:space="preserve">Consumer </w:t>
      </w:r>
      <w:proofErr w:type="spellStart"/>
      <w:r>
        <w:rPr>
          <w:rStyle w:val="Strong"/>
        </w:rPr>
        <w:t>Behavior</w:t>
      </w:r>
      <w:proofErr w:type="spellEnd"/>
      <w:r>
        <w:rPr>
          <w:rStyle w:val="Strong"/>
        </w:rPr>
        <w:t xml:space="preserve"> Analysis</w:t>
      </w:r>
      <w:r>
        <w:t xml:space="preserve"> – Understanding buying motivations and habits.</w:t>
      </w:r>
    </w:p>
    <w:p w:rsidR="00435610" w:rsidRDefault="00435610" w:rsidP="00435610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Purchase Decision Mapping</w:t>
      </w:r>
      <w:r>
        <w:t xml:space="preserve"> – Tracking factors influencing purchase choices.</w:t>
      </w:r>
    </w:p>
    <w:p w:rsidR="00435610" w:rsidRDefault="00435610" w:rsidP="00435610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lastRenderedPageBreak/>
        <w:t>Brand Perception Studies</w:t>
      </w:r>
      <w:r>
        <w:t xml:space="preserve"> – Assessing how consumers perceive your brand.</w:t>
      </w:r>
    </w:p>
    <w:p w:rsidR="00435610" w:rsidRDefault="00435610" w:rsidP="00435610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Customer Satisfaction Tracking</w:t>
      </w:r>
      <w:r>
        <w:t xml:space="preserve"> – Measuring ongoing customer experience.</w:t>
      </w:r>
    </w:p>
    <w:p w:rsidR="00435610" w:rsidRDefault="00435610" w:rsidP="00435610">
      <w:pPr>
        <w:pStyle w:val="Heading5"/>
      </w:pPr>
      <w:r>
        <w:rPr>
          <w:rStyle w:val="Strong"/>
          <w:b w:val="0"/>
          <w:bCs w:val="0"/>
        </w:rPr>
        <w:t>Market Tracking</w:t>
      </w:r>
    </w:p>
    <w:p w:rsidR="00435610" w:rsidRDefault="00435610" w:rsidP="00435610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Sales Leakage Analysis</w:t>
      </w:r>
      <w:r>
        <w:t xml:space="preserve"> – Identifying gaps in sales performance.</w:t>
      </w:r>
    </w:p>
    <w:p w:rsidR="00435610" w:rsidRDefault="00435610" w:rsidP="00435610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Market Share Tracking</w:t>
      </w:r>
      <w:r>
        <w:t xml:space="preserve"> – Monitoring competitor market positions.</w:t>
      </w:r>
    </w:p>
    <w:p w:rsidR="00435610" w:rsidRDefault="00435610" w:rsidP="00435610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Distribution Audit</w:t>
      </w:r>
      <w:r>
        <w:t xml:space="preserve"> – Assessing efficiency of distribution channels.</w:t>
      </w:r>
    </w:p>
    <w:p w:rsidR="00435610" w:rsidRDefault="00435610" w:rsidP="00435610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Retail Audit Services</w:t>
      </w:r>
      <w:r>
        <w:t xml:space="preserve"> – </w:t>
      </w:r>
      <w:proofErr w:type="spellStart"/>
      <w:r>
        <w:t>Analyzing</w:t>
      </w:r>
      <w:proofErr w:type="spellEnd"/>
      <w:r>
        <w:t xml:space="preserve"> retail performance and consumer trends.</w:t>
      </w:r>
    </w:p>
    <w:p w:rsidR="00435610" w:rsidRDefault="00435610" w:rsidP="00435610">
      <w:pPr>
        <w:pStyle w:val="Heading4"/>
      </w:pPr>
      <w:r>
        <w:rPr>
          <w:rStyle w:val="Strong"/>
          <w:b w:val="0"/>
          <w:bCs w:val="0"/>
        </w:rPr>
        <w:t>4. Specialized Research</w:t>
      </w:r>
    </w:p>
    <w:p w:rsidR="00435610" w:rsidRDefault="00435610" w:rsidP="00435610">
      <w:pPr>
        <w:spacing w:before="100" w:beforeAutospacing="1" w:after="100" w:afterAutospacing="1"/>
      </w:pPr>
      <w:r>
        <w:t>Customized research solutions tailored to unique industry needs:</w:t>
      </w:r>
    </w:p>
    <w:p w:rsidR="00435610" w:rsidRDefault="00435610" w:rsidP="00435610">
      <w:pPr>
        <w:pStyle w:val="Heading5"/>
      </w:pPr>
      <w:r>
        <w:rPr>
          <w:rStyle w:val="Strong"/>
          <w:b w:val="0"/>
          <w:bCs w:val="0"/>
        </w:rPr>
        <w:t>Rural Research</w:t>
      </w:r>
    </w:p>
    <w:p w:rsidR="00435610" w:rsidRDefault="00435610" w:rsidP="00435610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Rural Market Assessment</w:t>
      </w:r>
      <w:r>
        <w:t xml:space="preserve"> – Understanding market dynamics in rural regions.</w:t>
      </w:r>
    </w:p>
    <w:p w:rsidR="00435610" w:rsidRDefault="00435610" w:rsidP="00435610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Agricultural Sector Studies</w:t>
      </w:r>
      <w:r>
        <w:t xml:space="preserve"> – </w:t>
      </w:r>
      <w:proofErr w:type="spellStart"/>
      <w:r>
        <w:t>Analyzing</w:t>
      </w:r>
      <w:proofErr w:type="spellEnd"/>
      <w:r>
        <w:t xml:space="preserve"> agricultural production and trade.</w:t>
      </w:r>
    </w:p>
    <w:p w:rsidR="00435610" w:rsidRDefault="00435610" w:rsidP="00435610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 xml:space="preserve">Rural Consumer </w:t>
      </w:r>
      <w:proofErr w:type="spellStart"/>
      <w:r>
        <w:rPr>
          <w:rStyle w:val="Strong"/>
        </w:rPr>
        <w:t>Behavior</w:t>
      </w:r>
      <w:proofErr w:type="spellEnd"/>
      <w:r>
        <w:t xml:space="preserve"> – Identifying buying patterns in non-urban markets.</w:t>
      </w:r>
    </w:p>
    <w:p w:rsidR="00435610" w:rsidRDefault="00435610" w:rsidP="00435610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Distribution Channel Analysis</w:t>
      </w:r>
      <w:r>
        <w:t xml:space="preserve"> – Optimizing supply chains for rural reach.</w:t>
      </w:r>
      <w:r w:rsidRPr="00435610">
        <w:rPr>
          <w:noProof/>
        </w:rPr>
        <w:t xml:space="preserve"> </w:t>
      </w:r>
    </w:p>
    <w:p w:rsidR="00435610" w:rsidRDefault="00435610" w:rsidP="00435610">
      <w:pPr>
        <w:pStyle w:val="Heading5"/>
      </w:pPr>
      <w:r>
        <w:rPr>
          <w:rStyle w:val="Strong"/>
          <w:b w:val="0"/>
          <w:bCs w:val="0"/>
        </w:rPr>
        <w:t>Social Research</w:t>
      </w:r>
    </w:p>
    <w:p w:rsidR="00435610" w:rsidRDefault="00435610" w:rsidP="00435610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Social Impact Assessment</w:t>
      </w:r>
      <w:r>
        <w:t xml:space="preserve"> – Evaluating the effect of policies and programs.</w:t>
      </w:r>
    </w:p>
    <w:p w:rsidR="00435610" w:rsidRDefault="00435610" w:rsidP="00435610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Community Needs Analysis</w:t>
      </w:r>
      <w:r>
        <w:t xml:space="preserve"> – Understanding social and economic development needs.</w:t>
      </w:r>
    </w:p>
    <w:p w:rsidR="00435610" w:rsidRDefault="00435610" w:rsidP="00435610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Policy Research</w:t>
      </w:r>
      <w:r>
        <w:t xml:space="preserve"> – Supporting evidence-based policymaking.</w:t>
      </w:r>
    </w:p>
    <w:p w:rsidR="00435610" w:rsidRDefault="00435610" w:rsidP="00435610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Development Sector Studies</w:t>
      </w:r>
      <w:r>
        <w:t xml:space="preserve"> – </w:t>
      </w:r>
      <w:proofErr w:type="spellStart"/>
      <w:r>
        <w:t>Analyzing</w:t>
      </w:r>
      <w:proofErr w:type="spellEnd"/>
      <w:r>
        <w:t xml:space="preserve"> impact and opportunities in the development sector.</w:t>
      </w:r>
    </w:p>
    <w:p w:rsidR="00435610" w:rsidRDefault="00435610" w:rsidP="00435610">
      <w:pPr>
        <w:pStyle w:val="Heading3"/>
      </w:pPr>
      <w:r>
        <w:rPr>
          <w:rStyle w:val="Strong"/>
          <w:b w:val="0"/>
          <w:bCs w:val="0"/>
        </w:rPr>
        <w:t>Our Research Process</w:t>
      </w:r>
    </w:p>
    <w:p w:rsidR="00435610" w:rsidRDefault="00435610" w:rsidP="00435610">
      <w:pPr>
        <w:spacing w:before="100" w:beforeAutospacing="1" w:after="100" w:afterAutospacing="1"/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Research Design</w:t>
      </w:r>
      <w:r>
        <w:t xml:space="preserve"> – Defining objectives and crafting the perfect methodology.</w:t>
      </w:r>
      <w:r>
        <w:br/>
        <w:t>2️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Data Collection</w:t>
      </w:r>
      <w:r>
        <w:t xml:space="preserve"> – Gathering insights through surveys, interviews, and analytics.</w:t>
      </w:r>
      <w:r>
        <w:br/>
        <w:t>3️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Analysis</w:t>
      </w:r>
      <w:r>
        <w:t xml:space="preserve"> – Transforming data into actionable intelligence.</w:t>
      </w:r>
      <w:r>
        <w:br/>
        <w:t>4️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Strong"/>
        </w:rPr>
        <w:t>Reporting</w:t>
      </w:r>
      <w:r>
        <w:t xml:space="preserve"> – Delivering clear, strategic recommendations to drive business success.</w:t>
      </w:r>
    </w:p>
    <w:p w:rsidR="00B6707F" w:rsidRDefault="00B6707F"/>
    <w:p w:rsidR="00435610" w:rsidRDefault="00435610"/>
    <w:p w:rsidR="00435610" w:rsidRDefault="00435610"/>
    <w:p w:rsidR="00435610" w:rsidRDefault="00435610"/>
    <w:p w:rsidR="00435610" w:rsidRDefault="00435610"/>
    <w:p w:rsidR="00435610" w:rsidRDefault="00435610"/>
    <w:p w:rsidR="00435610" w:rsidRDefault="00435610"/>
    <w:p w:rsidR="00435610" w:rsidRDefault="00435610"/>
    <w:p w:rsidR="00435610" w:rsidRDefault="00435610"/>
    <w:p w:rsidR="00435610" w:rsidRDefault="00435610"/>
    <w:p w:rsidR="00435610" w:rsidRDefault="00435610">
      <w:r>
        <w:rPr>
          <w:noProof/>
        </w:rPr>
        <w:lastRenderedPageBreak/>
        <w:drawing>
          <wp:inline distT="0" distB="0" distL="0" distR="0" wp14:anchorId="220EFD48" wp14:editId="34176D60">
            <wp:extent cx="8497614" cy="3546566"/>
            <wp:effectExtent l="0" t="0" r="0" b="0"/>
            <wp:docPr id="888355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55225" name="Picture 8883552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5957" cy="355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610" w:rsidSect="00DC4286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78D"/>
    <w:multiLevelType w:val="multilevel"/>
    <w:tmpl w:val="6CD0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E3856"/>
    <w:multiLevelType w:val="multilevel"/>
    <w:tmpl w:val="EF6C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37605"/>
    <w:multiLevelType w:val="multilevel"/>
    <w:tmpl w:val="EB9A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6751B"/>
    <w:multiLevelType w:val="multilevel"/>
    <w:tmpl w:val="A2CA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81074"/>
    <w:multiLevelType w:val="multilevel"/>
    <w:tmpl w:val="BFCE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C2AD5"/>
    <w:multiLevelType w:val="multilevel"/>
    <w:tmpl w:val="B040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82FD8"/>
    <w:multiLevelType w:val="multilevel"/>
    <w:tmpl w:val="6A92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F2AB5"/>
    <w:multiLevelType w:val="multilevel"/>
    <w:tmpl w:val="2E68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D7F9E"/>
    <w:multiLevelType w:val="multilevel"/>
    <w:tmpl w:val="6E7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760EC"/>
    <w:multiLevelType w:val="multilevel"/>
    <w:tmpl w:val="F7C0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F409F"/>
    <w:multiLevelType w:val="multilevel"/>
    <w:tmpl w:val="8BF6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E4508"/>
    <w:multiLevelType w:val="multilevel"/>
    <w:tmpl w:val="FA9E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54697B"/>
    <w:multiLevelType w:val="multilevel"/>
    <w:tmpl w:val="DF2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75B38"/>
    <w:multiLevelType w:val="multilevel"/>
    <w:tmpl w:val="764E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1092A"/>
    <w:multiLevelType w:val="multilevel"/>
    <w:tmpl w:val="8BE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85547"/>
    <w:multiLevelType w:val="multilevel"/>
    <w:tmpl w:val="8A86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36C77"/>
    <w:multiLevelType w:val="multilevel"/>
    <w:tmpl w:val="CD3C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46592">
    <w:abstractNumId w:val="13"/>
  </w:num>
  <w:num w:numId="2" w16cid:durableId="778254284">
    <w:abstractNumId w:val="7"/>
  </w:num>
  <w:num w:numId="3" w16cid:durableId="1036545556">
    <w:abstractNumId w:val="10"/>
  </w:num>
  <w:num w:numId="4" w16cid:durableId="340083065">
    <w:abstractNumId w:val="11"/>
  </w:num>
  <w:num w:numId="5" w16cid:durableId="1487435918">
    <w:abstractNumId w:val="2"/>
  </w:num>
  <w:num w:numId="6" w16cid:durableId="1659186778">
    <w:abstractNumId w:val="8"/>
  </w:num>
  <w:num w:numId="7" w16cid:durableId="2118209119">
    <w:abstractNumId w:val="16"/>
  </w:num>
  <w:num w:numId="8" w16cid:durableId="923534416">
    <w:abstractNumId w:val="9"/>
  </w:num>
  <w:num w:numId="9" w16cid:durableId="425343764">
    <w:abstractNumId w:val="14"/>
  </w:num>
  <w:num w:numId="10" w16cid:durableId="1297175440">
    <w:abstractNumId w:val="12"/>
  </w:num>
  <w:num w:numId="11" w16cid:durableId="525296624">
    <w:abstractNumId w:val="0"/>
  </w:num>
  <w:num w:numId="12" w16cid:durableId="1152285664">
    <w:abstractNumId w:val="5"/>
  </w:num>
  <w:num w:numId="13" w16cid:durableId="2023310935">
    <w:abstractNumId w:val="1"/>
  </w:num>
  <w:num w:numId="14" w16cid:durableId="1352805296">
    <w:abstractNumId w:val="6"/>
  </w:num>
  <w:num w:numId="15" w16cid:durableId="556818068">
    <w:abstractNumId w:val="4"/>
  </w:num>
  <w:num w:numId="16" w16cid:durableId="920220656">
    <w:abstractNumId w:val="3"/>
  </w:num>
  <w:num w:numId="17" w16cid:durableId="2721358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7F"/>
    <w:rsid w:val="00435610"/>
    <w:rsid w:val="00B6707F"/>
    <w:rsid w:val="00DC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B140"/>
  <w15:chartTrackingRefBased/>
  <w15:docId w15:val="{4EB90271-9DD3-364A-8267-218AB1B4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0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0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0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0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6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customStyle="1" w:styleId="text-xl">
    <w:name w:val="text-xl"/>
    <w:basedOn w:val="Normal"/>
    <w:rsid w:val="00B670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0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0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ext-gray-600">
    <w:name w:val="text-gray-600"/>
    <w:basedOn w:val="Normal"/>
    <w:rsid w:val="00B670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flex">
    <w:name w:val="flex"/>
    <w:basedOn w:val="Normal"/>
    <w:rsid w:val="00B670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35610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61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2883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4238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046048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9455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9979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2365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771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6888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65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0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9209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554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3976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5620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234502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765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8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613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8484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7803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0343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1329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901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512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5798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6436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4133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6193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526127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95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9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2637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7158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5865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476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776148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25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2025-02-16T08:38:00Z</dcterms:created>
  <dcterms:modified xsi:type="dcterms:W3CDTF">2025-03-24T08:05:00Z</dcterms:modified>
</cp:coreProperties>
</file>