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B1C" w:rsidRDefault="004F3B1C" w:rsidP="004F3B1C"/>
    <w:p w:rsidR="0021437C" w:rsidRDefault="0021437C" w:rsidP="004F3B1C"/>
    <w:p w:rsidR="0021437C" w:rsidRDefault="0021437C" w:rsidP="0021437C">
      <w:pPr>
        <w:pStyle w:val="whitespace-pre-wrap"/>
      </w:pPr>
      <w:r>
        <w:t>About Us</w:t>
      </w:r>
    </w:p>
    <w:p w:rsidR="0021437C" w:rsidRDefault="0021437C" w:rsidP="0021437C">
      <w:pPr>
        <w:pStyle w:val="whitespace-pre-wrap"/>
      </w:pPr>
      <w:proofErr w:type="spellStart"/>
      <w:r>
        <w:t>Cyinov</w:t>
      </w:r>
      <w:proofErr w:type="spellEnd"/>
      <w:r>
        <w:t xml:space="preserve"> Consulting: Transforming Business Landscapes Through Strategic Excellence</w:t>
      </w:r>
    </w:p>
    <w:p w:rsidR="0021437C" w:rsidRDefault="0021437C" w:rsidP="0021437C">
      <w:pPr>
        <w:pStyle w:val="whitespace-pre-wrap"/>
      </w:pPr>
      <w:r>
        <w:t xml:space="preserve">At </w:t>
      </w:r>
      <w:proofErr w:type="spellStart"/>
      <w:r>
        <w:t>Cyinov</w:t>
      </w:r>
      <w:proofErr w:type="spellEnd"/>
      <w:r>
        <w:t xml:space="preserve"> Consulting, we are dedicated to redefining business consulting by offering comprehensive solutions that bridge the gap between vision and execution. Founded in 2025, we've established ourselves as a dynamic force in the consulting industry, combining innovative methodologies with deep industry expertise to deliver exceptional results for our clients.</w:t>
      </w:r>
    </w:p>
    <w:p w:rsidR="0021437C" w:rsidRDefault="0021437C" w:rsidP="0021437C">
      <w:pPr>
        <w:pStyle w:val="whitespace-pre-wrap"/>
      </w:pPr>
      <w:r>
        <w:t>Our Mission To revolutionize business consulting by providing integrated, technology-driven solutions that enable organizations to thrive in a rapidly evolving business landscape while maintaining the highest standards of compliance and operational excellence.</w:t>
      </w:r>
    </w:p>
    <w:p w:rsidR="0021437C" w:rsidRDefault="0021437C" w:rsidP="0021437C">
      <w:pPr>
        <w:pStyle w:val="whitespace-pre-wrap"/>
      </w:pPr>
      <w:r>
        <w:t>Our Vision To be the most trusted and innovative consulting partner for businesses across sectors, known for our transformative solutions and commitment to client success.</w:t>
      </w:r>
    </w:p>
    <w:p w:rsidR="0021437C" w:rsidRDefault="0021437C" w:rsidP="0021437C">
      <w:pPr>
        <w:pStyle w:val="whitespace-pre-wrap"/>
      </w:pPr>
      <w:r>
        <w:t>Core Values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Excellence in Execution: We maintain uncompromising standards in every project we undertake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Integrity &amp; Transparency: Our operations are founded on ethical practices and clear communication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Innovation &amp; Adaptability: We constantly evolve our approaches to meet emerging business challenges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Client-Centric Focus: Your success metrics are our primary objectives</w:t>
      </w:r>
    </w:p>
    <w:p w:rsidR="0021437C" w:rsidRDefault="0021437C" w:rsidP="0021437C">
      <w:pPr>
        <w:pStyle w:val="whitespace-normal"/>
        <w:numPr>
          <w:ilvl w:val="0"/>
          <w:numId w:val="1"/>
        </w:numPr>
      </w:pPr>
      <w:r>
        <w:t>Collaborative Growth: We believe in growing together with our clients and stakeholders</w:t>
      </w:r>
    </w:p>
    <w:p w:rsidR="0021437C" w:rsidRDefault="0021437C" w:rsidP="0021437C">
      <w:pPr>
        <w:pStyle w:val="whitespace-pre-wrap"/>
      </w:pPr>
      <w:r>
        <w:t>Comprehensive Service Portfolio</w:t>
      </w:r>
    </w:p>
    <w:p w:rsidR="0021437C" w:rsidRDefault="0021437C" w:rsidP="0021437C">
      <w:pPr>
        <w:pStyle w:val="whitespace-normal"/>
        <w:numPr>
          <w:ilvl w:val="0"/>
          <w:numId w:val="2"/>
        </w:numPr>
        <w:spacing w:before="0" w:beforeAutospacing="0" w:after="0" w:afterAutospacing="0"/>
      </w:pPr>
      <w:r>
        <w:t>Legal Consulting</w:t>
      </w:r>
    </w:p>
    <w:p w:rsidR="0021437C" w:rsidRDefault="0021437C" w:rsidP="0021437C">
      <w:pPr>
        <w:pStyle w:val="whitespace-normal"/>
        <w:numPr>
          <w:ilvl w:val="0"/>
          <w:numId w:val="4"/>
        </w:numPr>
        <w:spacing w:before="0" w:beforeAutospacing="0" w:after="0" w:afterAutospacing="0"/>
      </w:pPr>
      <w:r>
        <w:t>Tax Advisory</w:t>
      </w:r>
    </w:p>
    <w:p w:rsidR="0021437C" w:rsidRDefault="0021437C" w:rsidP="0021437C">
      <w:pPr>
        <w:pStyle w:val="whitespace-normal"/>
        <w:numPr>
          <w:ilvl w:val="0"/>
          <w:numId w:val="6"/>
        </w:numPr>
        <w:spacing w:before="0" w:beforeAutospacing="0" w:after="0" w:afterAutospacing="0"/>
      </w:pPr>
      <w:r>
        <w:t>Market Research</w:t>
      </w:r>
    </w:p>
    <w:p w:rsidR="0021437C" w:rsidRDefault="0021437C" w:rsidP="0021437C">
      <w:pPr>
        <w:pStyle w:val="whitespace-normal"/>
        <w:numPr>
          <w:ilvl w:val="0"/>
          <w:numId w:val="8"/>
        </w:numPr>
        <w:spacing w:before="0" w:beforeAutospacing="0" w:after="0" w:afterAutospacing="0"/>
      </w:pPr>
      <w:r>
        <w:t>Regulatory Compliances</w:t>
      </w:r>
    </w:p>
    <w:p w:rsidR="0021437C" w:rsidRDefault="0021437C" w:rsidP="0021437C">
      <w:pPr>
        <w:pStyle w:val="whitespace-normal"/>
        <w:numPr>
          <w:ilvl w:val="0"/>
          <w:numId w:val="10"/>
        </w:numPr>
        <w:spacing w:before="0" w:beforeAutospacing="0" w:after="0" w:afterAutospacing="0"/>
      </w:pPr>
      <w:r>
        <w:t>Human Capital Management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21437C" w:rsidRDefault="0021437C" w:rsidP="0021437C">
      <w:pPr>
        <w:pStyle w:val="whitespace-pre-wrap"/>
      </w:pPr>
      <w:r>
        <w:t>Our Approach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Diagnostic Assessment: We begin with a thorough analysis of your business environment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Custom Solution Design: Tailored strategies aligned with your specific business objectives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Implementation Support: Hands-on assistance throughout the execution phase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Monitoring &amp; Optimization: Continuous performance tracking and improvement</w:t>
      </w:r>
    </w:p>
    <w:p w:rsidR="0021437C" w:rsidRDefault="0021437C" w:rsidP="0021437C">
      <w:pPr>
        <w:pStyle w:val="whitespace-normal"/>
        <w:numPr>
          <w:ilvl w:val="0"/>
          <w:numId w:val="12"/>
        </w:numPr>
      </w:pPr>
      <w:r>
        <w:t>Knowledge Transfer: Building internal capabilities within your organization</w:t>
      </w:r>
    </w:p>
    <w:p w:rsidR="0021437C" w:rsidRDefault="0021437C" w:rsidP="0021437C">
      <w:pPr>
        <w:pStyle w:val="whitespace-pre-wrap"/>
      </w:pPr>
      <w:r>
        <w:t>Technology Integration We leverage cutting-edge technologies to enhance our service delivery: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Advanced Analytics Platforms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Cloud-based Compliance Management Systems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Automated Tax Calculation Tools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Digital HR Management Solutions</w:t>
      </w:r>
    </w:p>
    <w:p w:rsidR="0021437C" w:rsidRDefault="0021437C" w:rsidP="0021437C">
      <w:pPr>
        <w:pStyle w:val="whitespace-normal"/>
        <w:numPr>
          <w:ilvl w:val="0"/>
          <w:numId w:val="13"/>
        </w:numPr>
      </w:pPr>
      <w:r>
        <w:t>Real-time Reporting Dashboards</w:t>
      </w:r>
    </w:p>
    <w:p w:rsidR="0021437C" w:rsidRDefault="0021437C" w:rsidP="0021437C">
      <w:pPr>
        <w:pStyle w:val="whitespace-pre-wrap"/>
      </w:pPr>
      <w:r>
        <w:t>Industry Expertise Our consultants bring deep domain knowledge across various sectors: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Manufacturing and Industrial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Technology and Software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Healthcare and Pharmaceuticals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Retail and E-commerce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Financial Services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Real Estate and Infrastructure</w:t>
      </w:r>
    </w:p>
    <w:p w:rsidR="0021437C" w:rsidRDefault="0021437C" w:rsidP="0021437C">
      <w:pPr>
        <w:pStyle w:val="whitespace-normal"/>
        <w:numPr>
          <w:ilvl w:val="0"/>
          <w:numId w:val="14"/>
        </w:numPr>
      </w:pPr>
      <w:r>
        <w:t>Education and Training</w:t>
      </w:r>
    </w:p>
    <w:p w:rsidR="0021437C" w:rsidRDefault="0021437C" w:rsidP="0021437C">
      <w:pPr>
        <w:pStyle w:val="whitespace-pre-wrap"/>
      </w:pPr>
      <w:r>
        <w:t>Client Success Commitment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Dedicated Account Managers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24/7 Support System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Regular Progress Reviews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Quarterly Strategy Sessions</w:t>
      </w:r>
    </w:p>
    <w:p w:rsidR="0021437C" w:rsidRDefault="0021437C" w:rsidP="0021437C">
      <w:pPr>
        <w:pStyle w:val="whitespace-normal"/>
        <w:numPr>
          <w:ilvl w:val="0"/>
          <w:numId w:val="15"/>
        </w:numPr>
      </w:pPr>
      <w:r>
        <w:t>Annual Performance Assessments</w:t>
      </w:r>
    </w:p>
    <w:p w:rsidR="0021437C" w:rsidRDefault="0021437C" w:rsidP="0021437C">
      <w:pPr>
        <w:pStyle w:val="whitespace-pre-wrap"/>
      </w:pPr>
      <w:r>
        <w:t>Quality Assurance Our quality management system ensures: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Rigorous Quality Control Processes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Regular Service Audits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Client Feedback Integration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Continuous Service Enhancement</w:t>
      </w:r>
    </w:p>
    <w:p w:rsidR="0021437C" w:rsidRDefault="0021437C" w:rsidP="0021437C">
      <w:pPr>
        <w:pStyle w:val="whitespace-normal"/>
        <w:numPr>
          <w:ilvl w:val="0"/>
          <w:numId w:val="16"/>
        </w:numPr>
      </w:pPr>
      <w:r>
        <w:t>Professional Standards Compliance</w:t>
      </w: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</w:p>
    <w:p w:rsidR="0021437C" w:rsidRDefault="0021437C" w:rsidP="0021437C">
      <w:pPr>
        <w:pStyle w:val="whitespace-pre-wrap"/>
      </w:pPr>
      <w:r>
        <w:t>Global Best Practices We incorporate international standards and best practices: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ISO-aligned Processes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Industry-specific Frameworks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Global Compliance Standards</w:t>
      </w:r>
    </w:p>
    <w:p w:rsidR="0021437C" w:rsidRDefault="0021437C" w:rsidP="0021437C">
      <w:pPr>
        <w:pStyle w:val="whitespace-normal"/>
        <w:numPr>
          <w:ilvl w:val="0"/>
          <w:numId w:val="17"/>
        </w:numPr>
      </w:pPr>
      <w:r>
        <w:t>Sustainable Business Practices</w:t>
      </w:r>
    </w:p>
    <w:p w:rsidR="0021437C" w:rsidRDefault="0021437C" w:rsidP="0021437C">
      <w:pPr>
        <w:pStyle w:val="whitespace-pre-wrap"/>
      </w:pPr>
      <w:r>
        <w:t xml:space="preserve">Why Partner with </w:t>
      </w:r>
      <w:proofErr w:type="spellStart"/>
      <w:r>
        <w:t>Cyinov</w:t>
      </w:r>
      <w:proofErr w:type="spellEnd"/>
      <w:r>
        <w:t xml:space="preserve"> Consulting?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Integrated Solutions Hub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Single point of contact for all business needs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Seamless coordination across service verticals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Consistent quality standards across services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Expert Team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Experienced Professionals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Continuous Learning and Development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Industry-specific Expertise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Client-Centric Approach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Customized Solution Design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Flexible Engagement Models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Transparent Communication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Innovation Focus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Regular Methodology Updates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Technology Integration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Process Optimization</w:t>
      </w:r>
    </w:p>
    <w:p w:rsidR="0021437C" w:rsidRDefault="0021437C" w:rsidP="0021437C">
      <w:pPr>
        <w:pStyle w:val="whitespace-normal"/>
        <w:numPr>
          <w:ilvl w:val="0"/>
          <w:numId w:val="18"/>
        </w:numPr>
      </w:pPr>
      <w:r>
        <w:t xml:space="preserve">Value Addition 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Cost-Effective Solutions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Measurable Outcomes</w:t>
      </w:r>
    </w:p>
    <w:p w:rsidR="0021437C" w:rsidRDefault="0021437C" w:rsidP="0021437C">
      <w:pPr>
        <w:pStyle w:val="whitespace-normal"/>
        <w:numPr>
          <w:ilvl w:val="1"/>
          <w:numId w:val="18"/>
        </w:numPr>
      </w:pPr>
      <w:r>
        <w:t>Long-term Partnership Focus</w:t>
      </w:r>
    </w:p>
    <w:p w:rsidR="0021437C" w:rsidRDefault="0021437C" w:rsidP="0021437C">
      <w:pPr>
        <w:pStyle w:val="whitespace-pre-wrap"/>
      </w:pPr>
      <w:r>
        <w:t>Future Ready As we continue to grow, we remain committed to: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Expanding our service portfolio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Strengthening technological capabilities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Enhancing delivery mechanisms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Building stronger client relationships</w:t>
      </w:r>
    </w:p>
    <w:p w:rsidR="0021437C" w:rsidRDefault="0021437C" w:rsidP="0021437C">
      <w:pPr>
        <w:pStyle w:val="whitespace-normal"/>
        <w:numPr>
          <w:ilvl w:val="0"/>
          <w:numId w:val="19"/>
        </w:numPr>
      </w:pPr>
      <w:r>
        <w:t>Contributing to sustainable business practices</w:t>
      </w:r>
    </w:p>
    <w:p w:rsidR="0021437C" w:rsidRDefault="0021437C" w:rsidP="0021437C">
      <w:pPr>
        <w:pStyle w:val="whitespace-pre-wrap"/>
      </w:pPr>
      <w:r>
        <w:t xml:space="preserve">Connect with Us Whether you're a </w:t>
      </w:r>
      <w:proofErr w:type="spellStart"/>
      <w:r>
        <w:t>startup</w:t>
      </w:r>
      <w:proofErr w:type="spellEnd"/>
      <w:r>
        <w:t xml:space="preserve"> looking to establish strong foundations or an established enterprise seeking transformation, </w:t>
      </w:r>
      <w:proofErr w:type="spellStart"/>
      <w:r>
        <w:t>Cyinov</w:t>
      </w:r>
      <w:proofErr w:type="spellEnd"/>
      <w:r>
        <w:t xml:space="preserve"> Consulting offers the expertise, resources, and commitment to help you achieve your business objectives.</w:t>
      </w:r>
    </w:p>
    <w:p w:rsidR="0021437C" w:rsidRPr="004F3B1C" w:rsidRDefault="0021437C" w:rsidP="004F3B1C"/>
    <w:sectPr w:rsidR="0021437C" w:rsidRPr="004F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E75"/>
    <w:multiLevelType w:val="multilevel"/>
    <w:tmpl w:val="A8266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A6A16"/>
    <w:multiLevelType w:val="multilevel"/>
    <w:tmpl w:val="3D28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F7C3C"/>
    <w:multiLevelType w:val="multilevel"/>
    <w:tmpl w:val="A4EA1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D5803"/>
    <w:multiLevelType w:val="multilevel"/>
    <w:tmpl w:val="649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7050"/>
    <w:multiLevelType w:val="multilevel"/>
    <w:tmpl w:val="0D2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04D29"/>
    <w:multiLevelType w:val="multilevel"/>
    <w:tmpl w:val="CF4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C3321"/>
    <w:multiLevelType w:val="multilevel"/>
    <w:tmpl w:val="8908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5623F"/>
    <w:multiLevelType w:val="multilevel"/>
    <w:tmpl w:val="AAC6E5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9F77C2"/>
    <w:multiLevelType w:val="multilevel"/>
    <w:tmpl w:val="214E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D53F8"/>
    <w:multiLevelType w:val="multilevel"/>
    <w:tmpl w:val="235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374D2"/>
    <w:multiLevelType w:val="multilevel"/>
    <w:tmpl w:val="B6D6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33DFE"/>
    <w:multiLevelType w:val="multilevel"/>
    <w:tmpl w:val="FC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D4619"/>
    <w:multiLevelType w:val="multilevel"/>
    <w:tmpl w:val="C9CEA30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DD2E15"/>
    <w:multiLevelType w:val="multilevel"/>
    <w:tmpl w:val="3AFE79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A64969"/>
    <w:multiLevelType w:val="multilevel"/>
    <w:tmpl w:val="EEA6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A20EE"/>
    <w:multiLevelType w:val="multilevel"/>
    <w:tmpl w:val="14E4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97361"/>
    <w:multiLevelType w:val="multilevel"/>
    <w:tmpl w:val="2B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10610A"/>
    <w:multiLevelType w:val="multilevel"/>
    <w:tmpl w:val="115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2B2CD8"/>
    <w:multiLevelType w:val="multilevel"/>
    <w:tmpl w:val="4BE2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563819">
    <w:abstractNumId w:val="10"/>
  </w:num>
  <w:num w:numId="2" w16cid:durableId="369837646">
    <w:abstractNumId w:val="1"/>
  </w:num>
  <w:num w:numId="3" w16cid:durableId="559369858">
    <w:abstractNumId w:val="14"/>
  </w:num>
  <w:num w:numId="4" w16cid:durableId="155272064">
    <w:abstractNumId w:val="2"/>
  </w:num>
  <w:num w:numId="5" w16cid:durableId="327096285">
    <w:abstractNumId w:val="11"/>
  </w:num>
  <w:num w:numId="6" w16cid:durableId="1587492774">
    <w:abstractNumId w:val="7"/>
  </w:num>
  <w:num w:numId="7" w16cid:durableId="1309242842">
    <w:abstractNumId w:val="3"/>
  </w:num>
  <w:num w:numId="8" w16cid:durableId="901521588">
    <w:abstractNumId w:val="0"/>
  </w:num>
  <w:num w:numId="9" w16cid:durableId="182865840">
    <w:abstractNumId w:val="12"/>
  </w:num>
  <w:num w:numId="10" w16cid:durableId="1480999469">
    <w:abstractNumId w:val="13"/>
  </w:num>
  <w:num w:numId="11" w16cid:durableId="115759010">
    <w:abstractNumId w:val="16"/>
  </w:num>
  <w:num w:numId="12" w16cid:durableId="1336033081">
    <w:abstractNumId w:val="4"/>
  </w:num>
  <w:num w:numId="13" w16cid:durableId="1568766189">
    <w:abstractNumId w:val="5"/>
  </w:num>
  <w:num w:numId="14" w16cid:durableId="15694251">
    <w:abstractNumId w:val="15"/>
  </w:num>
  <w:num w:numId="15" w16cid:durableId="1281761106">
    <w:abstractNumId w:val="17"/>
  </w:num>
  <w:num w:numId="16" w16cid:durableId="701781542">
    <w:abstractNumId w:val="8"/>
  </w:num>
  <w:num w:numId="17" w16cid:durableId="538012848">
    <w:abstractNumId w:val="9"/>
  </w:num>
  <w:num w:numId="18" w16cid:durableId="1884250863">
    <w:abstractNumId w:val="18"/>
  </w:num>
  <w:num w:numId="19" w16cid:durableId="1920171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1C"/>
    <w:rsid w:val="0021437C"/>
    <w:rsid w:val="004F3B1C"/>
    <w:rsid w:val="00616C9A"/>
    <w:rsid w:val="00CD2957"/>
    <w:rsid w:val="00F5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335AC"/>
  <w15:chartTrackingRefBased/>
  <w15:docId w15:val="{B24DC08E-43F2-E144-A3DD-8D56CE4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2143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2025-01-15T09:00:00Z</dcterms:created>
  <dcterms:modified xsi:type="dcterms:W3CDTF">2025-01-15T09:00:00Z</dcterms:modified>
</cp:coreProperties>
</file>