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B2A4A" w:val="clear"/>
            <w:tcMar>
              <w:top w:type="dxa" w:w="200"/>
              <w:left w:type="dxa" w:w="360"/>
              <w:bottom w:type="dxa" w:w="200"/>
              <w:right w:type="dxa" w:w="360"/>
            </w:tcMar>
          </w:tcPr>
          <w:p>
            <w:pPr>
              <w:spacing w:after="80"/>
              <w:jc w:val="center"/>
            </w:pPr>
            <w:r>
              <w:rPr>
                <w:rFonts w:ascii="Arial" w:cs="Arial" w:eastAsia="Arial" w:hAnsi="Arial"/>
                <w:b/>
                <w:bCs/>
                <w:color w:val="FFFFFF"/>
                <w:sz w:val="52"/>
                <w:szCs w:val="52"/>
              </w:rPr>
              <w:t xml:space="preserve">CYBER SECURITY TASK 02</w:t>
            </w:r>
          </w:p>
          <w:p>
            <w:pPr>
              <w:spacing w:after="0"/>
              <w:jc w:val="center"/>
            </w:pPr>
            <w:r>
              <w:rPr>
                <w:rFonts w:ascii="Arial" w:cs="Arial" w:eastAsia="Arial" w:hAnsi="Arial"/>
                <w:b/>
                <w:bCs/>
                <w:color w:val="A8C8F0"/>
                <w:sz w:val="30"/>
                <w:szCs w:val="30"/>
              </w:rPr>
              <w:t xml:space="preserve">Part A: Understanding the CIA Triad</w:t>
            </w:r>
          </w:p>
        </w:tc>
      </w:tr>
    </w:tbl>
    <w:p>
      <w:pPr>
        <w:spacing w:after="200"/>
      </w:pPr>
    </w:p>
    <w:p>
      <w:pPr>
        <w:spacing w:after="80"/>
        <w:jc w:val="center"/>
      </w:pPr>
      <w:r>
        <w:rPr>
          <w:i/>
          <w:iCs/>
          <w:color w:val="6B7280"/>
          <w:sz w:val="22"/>
          <w:szCs w:val="22"/>
        </w:rPr>
        <w:t xml:space="preserve">Confidentiality  ·  Integrity  ·  Availability</w:t>
      </w:r>
    </w:p>
    <w:p>
      <w:pPr>
        <w:pBdr>
          <w:bottom w:val="single" w:color="2563A8" w:sz="4" w:space="1"/>
        </w:pBdr>
        <w:spacing w:after="220"/>
      </w:pPr>
    </w:p>
    <w:p>
      <w:pPr>
        <w:spacing w:after="60"/>
      </w:pPr>
    </w:p>
    <w:p>
      <w:pPr>
        <w:spacing w:after="60"/>
        <w:jc w:val="center"/>
      </w:pPr>
      <w:r>
        <w:rPr>
          <w:color w:val="6B7280"/>
          <w:sz w:val="19"/>
          <w:szCs w:val="19"/>
        </w:rPr>
        <w:t xml:space="preserve">Submitted By</w:t>
      </w:r>
    </w:p>
    <w:p>
      <w:pPr>
        <w:spacing w:after="60"/>
        <w:jc w:val="center"/>
      </w:pPr>
      <w:r>
        <w:rPr>
          <w:b/>
          <w:bCs/>
          <w:color w:val="1B2A4A"/>
          <w:sz w:val="30"/>
          <w:szCs w:val="30"/>
        </w:rPr>
        <w:t xml:space="preserve">Pratiksha Vishwakarma</w:t>
      </w:r>
    </w:p>
    <w:p>
      <w:pPr>
        <w:spacing w:after="60"/>
        <w:jc w:val="center"/>
      </w:pPr>
      <w:r>
        <w:rPr>
          <w:color w:val="6B7280"/>
          <w:sz w:val="19"/>
          <w:szCs w:val="19"/>
        </w:rPr>
        <w:t xml:space="preserve">Internship Cybersecurity Task  ·  CIA Triad &amp; Risk Assessment</w:t>
      </w:r>
    </w:p>
    <w:p>
      <w:r>
        <w:br w:type="page"/>
      </w:r>
    </w:p>
    <w:p>
      <w:pPr>
        <w:spacing w:after="140"/>
      </w:pPr>
      <w:r>
        <w:rPr>
          <w:rFonts w:ascii="Arial" w:cs="Arial" w:eastAsia="Arial" w:hAnsi="Arial"/>
          <w:sz w:val="22"/>
          <w:szCs w:val="22"/>
        </w:rPr>
        <w:t xml:space="preserve">The CIA Triad — Confidentiality, Integrity, and Availability — forms the foundational model upon which nearly all cybersecurity policies, controls, and practices are built. Each of the three principles addresses a distinct dimension of information protection. The following sections explain each principle in detail, along with its importance and a real-world example.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1B2A4A" w:val="clear"/>
            <w:tcMar>
              <w:top w:type="dxa" w:w="0"/>
              <w:left w:type="dxa" w:w="0"/>
              <w:bottom w:type="dxa" w:w="0"/>
              <w:right w:type="dxa" w:w="0"/>
            </w:tcMar>
          </w:tcPr>
          <w:p>
            <w:r>
              <w:t xml:space="preserve"> </w:t>
            </w:r>
          </w:p>
        </w:tc>
        <w:tc>
          <w:tcPr>
            <w:tcW w:type="dxa" w:w="9240"/>
            <w:tcBorders>
              <w:top w:val="none"/>
              <w:left w:val="none"/>
              <w:bottom w:val="none"/>
              <w:right w:val="none"/>
            </w:tcBorders>
            <w:shd w:fill="F8FAFD" w:val="clear"/>
            <w:tcMar>
              <w:top w:type="dxa" w:w="100"/>
              <w:left w:type="dxa" w:w="200"/>
              <w:bottom w:type="dxa" w:w="100"/>
              <w:right w:type="dxa" w:w="0"/>
            </w:tcMar>
          </w:tcPr>
          <w:p>
            <w:pPr>
              <w:spacing w:after="0" w:before="0"/>
            </w:pPr>
            <w:r>
              <w:rPr>
                <w:rFonts w:ascii="Arial" w:cs="Arial" w:eastAsia="Arial" w:hAnsi="Arial"/>
                <w:b/>
                <w:bCs/>
                <w:color w:val="1B2A4A"/>
                <w:sz w:val="27"/>
                <w:szCs w:val="27"/>
              </w:rPr>
              <w:t xml:space="preserve">1.  Confidentiality</w:t>
            </w:r>
          </w:p>
        </w:tc>
      </w:tr>
    </w:tbl>
    <w:p>
      <w:pPr>
        <w:spacing w:after="80"/>
      </w:pPr>
    </w:p>
    <w:p>
      <w:pPr>
        <w:spacing w:after="100" w:before="240"/>
      </w:pPr>
      <w:r>
        <w:rPr>
          <w:rFonts w:ascii="Arial" w:cs="Arial" w:eastAsia="Arial" w:hAnsi="Arial"/>
          <w:b/>
          <w:bCs/>
          <w:color w:val="2563A8"/>
          <w:sz w:val="23"/>
          <w:szCs w:val="23"/>
        </w:rPr>
        <w:t xml:space="preserve">Definition</w:t>
      </w:r>
    </w:p>
    <w:p>
      <w:pPr>
        <w:spacing w:after="140"/>
      </w:pPr>
      <w:r>
        <w:rPr>
          <w:rFonts w:ascii="Arial" w:cs="Arial" w:eastAsia="Arial" w:hAnsi="Arial"/>
          <w:sz w:val="22"/>
          <w:szCs w:val="22"/>
        </w:rPr>
        <w:t xml:space="preserve">Confidentiality refers to the principle of ensuring that information is accessible only to individuals, systems, or processes that are explicitly authorised to access it. It protects sensitive data — personal, financial, medical, or organisational — from being viewed, accessed, or disclosed to unauthorised parties. Confidentiality is typically enforced through mechanisms such as encryption, access control lists, authentication systems, and data classification policies.</w:t>
      </w:r>
    </w:p>
    <w:p>
      <w:pPr>
        <w:spacing w:after="100" w:before="240"/>
      </w:pPr>
      <w:r>
        <w:rPr>
          <w:rFonts w:ascii="Arial" w:cs="Arial" w:eastAsia="Arial" w:hAnsi="Arial"/>
          <w:b/>
          <w:bCs/>
          <w:color w:val="2563A8"/>
          <w:sz w:val="23"/>
          <w:szCs w:val="23"/>
        </w:rPr>
        <w:t xml:space="preserve">Why It Is Important</w:t>
      </w:r>
    </w:p>
    <w:p>
      <w:pPr>
        <w:spacing w:after="140"/>
      </w:pPr>
      <w:r>
        <w:rPr>
          <w:rFonts w:ascii="Arial" w:cs="Arial" w:eastAsia="Arial" w:hAnsi="Arial"/>
          <w:sz w:val="22"/>
          <w:szCs w:val="22"/>
        </w:rPr>
        <w:t xml:space="preserve">Confidentiality is critical because unauthorised exposure of sensitive information can lead to identity theft, financial fraud, reputational damage, regulatory penalties, and loss of competitive advantage. Many legal and regulatory frameworks — including GDPR, HIPAA, and India's DPDP Act — mandate strict confidentiality protections for personal and sensitive data, making confidentiality not just a security best practice but a legal obligation in most jurisdictions.</w:t>
      </w:r>
    </w:p>
    <w:p>
      <w:pPr>
        <w:spacing w:after="100" w:before="240"/>
      </w:pPr>
      <w:r>
        <w:rPr>
          <w:rFonts w:ascii="Arial" w:cs="Arial" w:eastAsia="Arial" w:hAnsi="Arial"/>
          <w:b/>
          <w:bCs/>
          <w:color w:val="2563A8"/>
          <w:sz w:val="23"/>
          <w:szCs w:val="23"/>
        </w:rPr>
        <w:t xml:space="preserve">Real-World Example</w:t>
      </w:r>
    </w:p>
    <w:p>
      <w:pPr>
        <w:spacing w:after="140"/>
      </w:pPr>
      <w:r>
        <w:rPr>
          <w:rFonts w:ascii="Arial" w:cs="Arial" w:eastAsia="Arial" w:hAnsi="Arial"/>
          <w:sz w:val="22"/>
          <w:szCs w:val="22"/>
        </w:rPr>
        <w:t xml:space="preserve">Between 2013 and 2014, Yahoo suffered a breach that compromised the confidentiality of 3 billion user accounts, exposing names, email addresses, phone numbers, and security question answers. This was a direct violation of confidentiality — sensitive user data became accessible to unauthorised state-sponsored attackers, resulting in significant financial and reputational damage to the company.</w:t>
      </w:r>
    </w:p>
    <w:p>
      <w:pPr>
        <w:pBdr>
          <w:bottom w:val="single" w:color="D1D9E6" w:sz="2" w:space="1"/>
        </w:pBdr>
        <w:spacing w:after="32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1B2A4A" w:val="clear"/>
            <w:tcMar>
              <w:top w:type="dxa" w:w="0"/>
              <w:left w:type="dxa" w:w="0"/>
              <w:bottom w:type="dxa" w:w="0"/>
              <w:right w:type="dxa" w:w="0"/>
            </w:tcMar>
          </w:tcPr>
          <w:p>
            <w:r>
              <w:t xml:space="preserve"> </w:t>
            </w:r>
          </w:p>
        </w:tc>
        <w:tc>
          <w:tcPr>
            <w:tcW w:type="dxa" w:w="9240"/>
            <w:tcBorders>
              <w:top w:val="none"/>
              <w:left w:val="none"/>
              <w:bottom w:val="none"/>
              <w:right w:val="none"/>
            </w:tcBorders>
            <w:shd w:fill="F8FAFD" w:val="clear"/>
            <w:tcMar>
              <w:top w:type="dxa" w:w="100"/>
              <w:left w:type="dxa" w:w="200"/>
              <w:bottom w:type="dxa" w:w="100"/>
              <w:right w:type="dxa" w:w="0"/>
            </w:tcMar>
          </w:tcPr>
          <w:p>
            <w:pPr>
              <w:spacing w:after="0" w:before="0"/>
            </w:pPr>
            <w:r>
              <w:rPr>
                <w:rFonts w:ascii="Arial" w:cs="Arial" w:eastAsia="Arial" w:hAnsi="Arial"/>
                <w:b/>
                <w:bCs/>
                <w:color w:val="1B2A4A"/>
                <w:sz w:val="27"/>
                <w:szCs w:val="27"/>
              </w:rPr>
              <w:t xml:space="preserve">2.  Integrity</w:t>
            </w:r>
          </w:p>
        </w:tc>
      </w:tr>
    </w:tbl>
    <w:p>
      <w:pPr>
        <w:spacing w:after="80"/>
      </w:pPr>
    </w:p>
    <w:p>
      <w:pPr>
        <w:spacing w:after="100" w:before="240"/>
      </w:pPr>
      <w:r>
        <w:rPr>
          <w:rFonts w:ascii="Arial" w:cs="Arial" w:eastAsia="Arial" w:hAnsi="Arial"/>
          <w:b/>
          <w:bCs/>
          <w:color w:val="2563A8"/>
          <w:sz w:val="23"/>
          <w:szCs w:val="23"/>
        </w:rPr>
        <w:t xml:space="preserve">Definition</w:t>
      </w:r>
    </w:p>
    <w:p>
      <w:pPr>
        <w:spacing w:after="140"/>
      </w:pPr>
      <w:r>
        <w:rPr>
          <w:rFonts w:ascii="Arial" w:cs="Arial" w:eastAsia="Arial" w:hAnsi="Arial"/>
          <w:sz w:val="22"/>
          <w:szCs w:val="22"/>
        </w:rPr>
        <w:t xml:space="preserve">Integrity refers to the principle of maintaining the accuracy, consistency, and trustworthiness of data throughout its entire lifecycle. It ensures information is not altered, tampered with, or corrupted — whether maliciously by an attacker or accidentally through system error — without proper authorisation. Integrity is commonly enforced through checksums, cryptographic hashing, digital signatures, version control, and audit logging.</w:t>
      </w:r>
    </w:p>
    <w:p>
      <w:pPr>
        <w:spacing w:after="100" w:before="240"/>
      </w:pPr>
      <w:r>
        <w:rPr>
          <w:rFonts w:ascii="Arial" w:cs="Arial" w:eastAsia="Arial" w:hAnsi="Arial"/>
          <w:b/>
          <w:bCs/>
          <w:color w:val="2563A8"/>
          <w:sz w:val="23"/>
          <w:szCs w:val="23"/>
        </w:rPr>
        <w:t xml:space="preserve">Why It Is Important</w:t>
      </w:r>
    </w:p>
    <w:p>
      <w:pPr>
        <w:spacing w:after="140"/>
      </w:pPr>
      <w:r>
        <w:rPr>
          <w:rFonts w:ascii="Arial" w:cs="Arial" w:eastAsia="Arial" w:hAnsi="Arial"/>
          <w:sz w:val="22"/>
          <w:szCs w:val="22"/>
        </w:rPr>
        <w:t xml:space="preserve">Integrity is essential because decisions, transactions, and operations across every sector — finance, healthcare, government, and industry — depend entirely on the assumption that data is accurate and has not been tampered with. A loss of integrity can result in incorrect medical treatment based on falsified records, fraudulent financial transactions, manipulated election results, or compromised software supply chains, with consequences ranging from financial loss to loss of human life.</w:t>
      </w:r>
    </w:p>
    <w:p>
      <w:pPr>
        <w:spacing w:after="100" w:before="240"/>
      </w:pPr>
      <w:r>
        <w:rPr>
          <w:rFonts w:ascii="Arial" w:cs="Arial" w:eastAsia="Arial" w:hAnsi="Arial"/>
          <w:b/>
          <w:bCs/>
          <w:color w:val="2563A8"/>
          <w:sz w:val="23"/>
          <w:szCs w:val="23"/>
        </w:rPr>
        <w:t xml:space="preserve">Real-World Example</w:t>
      </w:r>
    </w:p>
    <w:p>
      <w:pPr>
        <w:spacing w:after="140"/>
      </w:pPr>
      <w:r>
        <w:rPr>
          <w:rFonts w:ascii="Arial" w:cs="Arial" w:eastAsia="Arial" w:hAnsi="Arial"/>
          <w:sz w:val="22"/>
          <w:szCs w:val="22"/>
        </w:rPr>
        <w:t xml:space="preserve">The 2020 SolarWinds supply chain attack was fundamentally an integrity violation. Attackers inserted malicious code (a backdoor named SUNBURST) directly into legitimate SolarWinds Orion software updates. Thousands of organisations — including US federal agencies — unknowingly installed compromised, tampered software through their normal, trusted update process, demonstrating how a single integrity failure can cascade across an entire global supply chain.</w:t>
      </w:r>
    </w:p>
    <w:p>
      <w:pPr>
        <w:pBdr>
          <w:bottom w:val="single" w:color="D1D9E6" w:sz="2" w:space="1"/>
        </w:pBdr>
        <w:spacing w:after="32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1B2A4A" w:val="clear"/>
            <w:tcMar>
              <w:top w:type="dxa" w:w="0"/>
              <w:left w:type="dxa" w:w="0"/>
              <w:bottom w:type="dxa" w:w="0"/>
              <w:right w:type="dxa" w:w="0"/>
            </w:tcMar>
          </w:tcPr>
          <w:p>
            <w:r>
              <w:t xml:space="preserve"> </w:t>
            </w:r>
          </w:p>
        </w:tc>
        <w:tc>
          <w:tcPr>
            <w:tcW w:type="dxa" w:w="9240"/>
            <w:tcBorders>
              <w:top w:val="none"/>
              <w:left w:val="none"/>
              <w:bottom w:val="none"/>
              <w:right w:val="none"/>
            </w:tcBorders>
            <w:shd w:fill="F8FAFD" w:val="clear"/>
            <w:tcMar>
              <w:top w:type="dxa" w:w="100"/>
              <w:left w:type="dxa" w:w="200"/>
              <w:bottom w:type="dxa" w:w="100"/>
              <w:right w:type="dxa" w:w="0"/>
            </w:tcMar>
          </w:tcPr>
          <w:p>
            <w:pPr>
              <w:spacing w:after="0" w:before="0"/>
            </w:pPr>
            <w:r>
              <w:rPr>
                <w:rFonts w:ascii="Arial" w:cs="Arial" w:eastAsia="Arial" w:hAnsi="Arial"/>
                <w:b/>
                <w:bCs/>
                <w:color w:val="1B2A4A"/>
                <w:sz w:val="27"/>
                <w:szCs w:val="27"/>
              </w:rPr>
              <w:t xml:space="preserve">3.  Availability</w:t>
            </w:r>
          </w:p>
        </w:tc>
      </w:tr>
    </w:tbl>
    <w:p>
      <w:pPr>
        <w:spacing w:after="80"/>
      </w:pPr>
    </w:p>
    <w:p>
      <w:pPr>
        <w:spacing w:after="100" w:before="240"/>
      </w:pPr>
      <w:r>
        <w:rPr>
          <w:rFonts w:ascii="Arial" w:cs="Arial" w:eastAsia="Arial" w:hAnsi="Arial"/>
          <w:b/>
          <w:bCs/>
          <w:color w:val="2563A8"/>
          <w:sz w:val="23"/>
          <w:szCs w:val="23"/>
        </w:rPr>
        <w:t xml:space="preserve">Definition</w:t>
      </w:r>
    </w:p>
    <w:p>
      <w:pPr>
        <w:spacing w:after="140"/>
      </w:pPr>
      <w:r>
        <w:rPr>
          <w:rFonts w:ascii="Arial" w:cs="Arial" w:eastAsia="Arial" w:hAnsi="Arial"/>
          <w:sz w:val="22"/>
          <w:szCs w:val="22"/>
        </w:rPr>
        <w:t xml:space="preserve">Availability refers to the principle of ensuring that information, systems, and resources are accessible and usable by authorised users whenever needed, without unacceptable delay or disruption. Availability is maintained through redundancy, fault tolerance, regular maintenance, load balancing, disaster recovery planning, and protection against denial-of-service attacks.</w:t>
      </w:r>
    </w:p>
    <w:p>
      <w:pPr>
        <w:spacing w:after="100" w:before="240"/>
      </w:pPr>
      <w:r>
        <w:rPr>
          <w:rFonts w:ascii="Arial" w:cs="Arial" w:eastAsia="Arial" w:hAnsi="Arial"/>
          <w:b/>
          <w:bCs/>
          <w:color w:val="2563A8"/>
          <w:sz w:val="23"/>
          <w:szCs w:val="23"/>
        </w:rPr>
        <w:t xml:space="preserve">Why It Is Important</w:t>
      </w:r>
    </w:p>
    <w:p>
      <w:pPr>
        <w:spacing w:after="140"/>
      </w:pPr>
      <w:r>
        <w:rPr>
          <w:rFonts w:ascii="Arial" w:cs="Arial" w:eastAsia="Arial" w:hAnsi="Arial"/>
          <w:sz w:val="22"/>
          <w:szCs w:val="22"/>
        </w:rPr>
        <w:t xml:space="preserve">Availability is vital because modern organisations — hospitals, financial institutions, e-commerce platforms, and critical infrastructure operators — depend on continuous system uptime to function. Extended downtime can result in direct financial losses, halted medical care, disrupted essential services, and erosion of customer trust. For systems such as emergency response networks or power grids, availability failures can directly endanger human life.</w:t>
      </w:r>
    </w:p>
    <w:p>
      <w:pPr>
        <w:spacing w:after="100" w:before="240"/>
      </w:pPr>
      <w:r>
        <w:rPr>
          <w:rFonts w:ascii="Arial" w:cs="Arial" w:eastAsia="Arial" w:hAnsi="Arial"/>
          <w:b/>
          <w:bCs/>
          <w:color w:val="2563A8"/>
          <w:sz w:val="23"/>
          <w:szCs w:val="23"/>
        </w:rPr>
        <w:t xml:space="preserve">Real-World Example</w:t>
      </w:r>
    </w:p>
    <w:p>
      <w:pPr>
        <w:spacing w:after="140"/>
      </w:pPr>
      <w:r>
        <w:rPr>
          <w:rFonts w:ascii="Arial" w:cs="Arial" w:eastAsia="Arial" w:hAnsi="Arial"/>
          <w:sz w:val="22"/>
          <w:szCs w:val="22"/>
        </w:rPr>
        <w:t xml:space="preserve">The May 2021 Colonial Pipeline ransomware attack was primarily an availability attack. While the ransomware itself targeted the company's billing systems rather than the pipeline's operational technology, Colonial Pipeline proactively shut down 5,500 miles of pipeline as a precaution. This loss of availability caused widespread fuel shortages and panic-buying across the southeastern United States, demonstrating how an availability disruption can have severe real-world economic consequences even without direct damage to core infrastructure.</w:t>
      </w:r>
    </w:p>
    <w:p>
      <w:pPr>
        <w:pBdr>
          <w:bottom w:val="single" w:color="D1D9E6" w:sz="2" w:space="1"/>
        </w:pBdr>
        <w:spacing w:after="320"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1B2A4A" w:val="clear"/>
            <w:tcMar>
              <w:top w:type="dxa" w:w="0"/>
              <w:left w:type="dxa" w:w="0"/>
              <w:bottom w:type="dxa" w:w="0"/>
              <w:right w:type="dxa" w:w="0"/>
            </w:tcMar>
          </w:tcPr>
          <w:p>
            <w:r>
              <w:t xml:space="preserve"> </w:t>
            </w:r>
          </w:p>
        </w:tc>
        <w:tc>
          <w:tcPr>
            <w:tcW w:type="dxa" w:w="9240"/>
            <w:tcBorders>
              <w:top w:val="none"/>
              <w:left w:val="none"/>
              <w:bottom w:val="none"/>
              <w:right w:val="none"/>
            </w:tcBorders>
            <w:shd w:fill="F8FAFD" w:val="clear"/>
            <w:tcMar>
              <w:top w:type="dxa" w:w="100"/>
              <w:left w:type="dxa" w:w="200"/>
              <w:bottom w:type="dxa" w:w="100"/>
              <w:right w:type="dxa" w:w="0"/>
            </w:tcMar>
          </w:tcPr>
          <w:p>
            <w:pPr>
              <w:spacing w:after="0" w:before="0"/>
            </w:pPr>
            <w:r>
              <w:rPr>
                <w:rFonts w:ascii="Arial" w:cs="Arial" w:eastAsia="Arial" w:hAnsi="Arial"/>
                <w:b/>
                <w:bCs/>
                <w:color w:val="1B2A4A"/>
                <w:sz w:val="27"/>
                <w:szCs w:val="27"/>
              </w:rPr>
              <w:t xml:space="preserve">Comparison Table — Confidentiality vs Integrity vs Availability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1D9E6" w:sz="1"/>
              <w:left w:val="single" w:color="D1D9E6" w:sz="1"/>
              <w:bottom w:val="single" w:color="D1D9E6" w:sz="1"/>
              <w:right w:val="single" w:color="D1D9E6" w:sz="1"/>
            </w:tcBorders>
            <w:shd w:fill="1B2A4A"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Aspect</w:t>
            </w:r>
          </w:p>
        </w:tc>
        <w:tc>
          <w:tcPr>
            <w:tcW w:type="dxa" w:w="2520"/>
            <w:tcBorders>
              <w:top w:val="single" w:color="D1D9E6" w:sz="1"/>
              <w:left w:val="single" w:color="D1D9E6" w:sz="1"/>
              <w:bottom w:val="single" w:color="D1D9E6" w:sz="1"/>
              <w:right w:val="single" w:color="D1D9E6" w:sz="1"/>
            </w:tcBorders>
            <w:shd w:fill="1B2A4A"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Confidentiality</w:t>
            </w:r>
          </w:p>
        </w:tc>
        <w:tc>
          <w:tcPr>
            <w:tcW w:type="dxa" w:w="2520"/>
            <w:tcBorders>
              <w:top w:val="single" w:color="D1D9E6" w:sz="1"/>
              <w:left w:val="single" w:color="D1D9E6" w:sz="1"/>
              <w:bottom w:val="single" w:color="D1D9E6" w:sz="1"/>
              <w:right w:val="single" w:color="D1D9E6" w:sz="1"/>
            </w:tcBorders>
            <w:shd w:fill="1B2A4A"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Integrity</w:t>
            </w:r>
          </w:p>
        </w:tc>
        <w:tc>
          <w:tcPr>
            <w:tcW w:type="dxa" w:w="2520"/>
            <w:tcBorders>
              <w:top w:val="single" w:color="D1D9E6" w:sz="1"/>
              <w:left w:val="single" w:color="D1D9E6" w:sz="1"/>
              <w:bottom w:val="single" w:color="D1D9E6" w:sz="1"/>
              <w:right w:val="single" w:color="D1D9E6" w:sz="1"/>
            </w:tcBorders>
            <w:shd w:fill="1B2A4A"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Availability</w:t>
            </w:r>
          </w:p>
        </w:tc>
      </w:tr>
      <w:tr>
        <w:tc>
          <w:tcPr>
            <w:tcW w:type="dxa" w:w="1800"/>
            <w:tcBorders>
              <w:top w:val="single" w:color="D1D9E6" w:sz="1"/>
              <w:left w:val="single" w:color="D1D9E6" w:sz="1"/>
              <w:bottom w:val="single" w:color="D1D9E6" w:sz="1"/>
              <w:right w:val="single" w:color="D1D9E6" w:sz="1"/>
            </w:tcBorders>
            <w:shd w:fill="EBF1FA" w:val="clear"/>
            <w:tcMar>
              <w:top w:type="dxa" w:w="85"/>
              <w:left w:type="dxa" w:w="130"/>
              <w:bottom w:type="dxa" w:w="85"/>
              <w:right w:type="dxa" w:w="130"/>
            </w:tcMar>
          </w:tcPr>
          <w:p>
            <w:r>
              <w:rPr>
                <w:rFonts w:ascii="Arial" w:cs="Arial" w:eastAsia="Arial" w:hAnsi="Arial"/>
                <w:b/>
                <w:bCs/>
                <w:sz w:val="18"/>
                <w:szCs w:val="18"/>
              </w:rPr>
              <w:t xml:space="preserve">Definition</w:t>
            </w:r>
          </w:p>
        </w:tc>
        <w:tc>
          <w:tcPr>
            <w:tcW w:type="dxa" w:w="2520"/>
            <w:tcBorders>
              <w:top w:val="single" w:color="D1D9E6" w:sz="1"/>
              <w:left w:val="single" w:color="D1D9E6" w:sz="1"/>
              <w:bottom w:val="single" w:color="D1D9E6" w:sz="1"/>
              <w:right w:val="single" w:color="D1D9E6" w:sz="1"/>
            </w:tcBorders>
            <w:shd w:fill="EBF1FA" w:val="clear"/>
            <w:tcMar>
              <w:top w:type="dxa" w:w="85"/>
              <w:left w:type="dxa" w:w="130"/>
              <w:bottom w:type="dxa" w:w="85"/>
              <w:right w:type="dxa" w:w="130"/>
            </w:tcMar>
          </w:tcPr>
          <w:p>
            <w:r>
              <w:rPr>
                <w:rFonts w:ascii="Arial" w:cs="Arial" w:eastAsia="Arial" w:hAnsi="Arial"/>
                <w:b w:val="false"/>
                <w:bCs w:val="false"/>
                <w:sz w:val="18"/>
                <w:szCs w:val="18"/>
              </w:rPr>
              <w:t xml:space="preserve">Ensures data is accessible only to authorised parties</w:t>
            </w:r>
          </w:p>
        </w:tc>
        <w:tc>
          <w:tcPr>
            <w:tcW w:type="dxa" w:w="2520"/>
            <w:tcBorders>
              <w:top w:val="single" w:color="D1D9E6" w:sz="1"/>
              <w:left w:val="single" w:color="D1D9E6" w:sz="1"/>
              <w:bottom w:val="single" w:color="D1D9E6" w:sz="1"/>
              <w:right w:val="single" w:color="D1D9E6" w:sz="1"/>
            </w:tcBorders>
            <w:shd w:fill="EBF1FA" w:val="clear"/>
            <w:tcMar>
              <w:top w:type="dxa" w:w="85"/>
              <w:left w:type="dxa" w:w="130"/>
              <w:bottom w:type="dxa" w:w="85"/>
              <w:right w:type="dxa" w:w="130"/>
            </w:tcMar>
          </w:tcPr>
          <w:p>
            <w:r>
              <w:rPr>
                <w:rFonts w:ascii="Arial" w:cs="Arial" w:eastAsia="Arial" w:hAnsi="Arial"/>
                <w:b w:val="false"/>
                <w:bCs w:val="false"/>
                <w:sz w:val="18"/>
                <w:szCs w:val="18"/>
              </w:rPr>
              <w:t xml:space="preserve">Ensures data is accurate, consistent, and unaltered</w:t>
            </w:r>
          </w:p>
        </w:tc>
        <w:tc>
          <w:tcPr>
            <w:tcW w:type="dxa" w:w="2520"/>
            <w:tcBorders>
              <w:top w:val="single" w:color="D1D9E6" w:sz="1"/>
              <w:left w:val="single" w:color="D1D9E6" w:sz="1"/>
              <w:bottom w:val="single" w:color="D1D9E6" w:sz="1"/>
              <w:right w:val="single" w:color="D1D9E6" w:sz="1"/>
            </w:tcBorders>
            <w:shd w:fill="EBF1FA" w:val="clear"/>
            <w:tcMar>
              <w:top w:type="dxa" w:w="85"/>
              <w:left w:type="dxa" w:w="130"/>
              <w:bottom w:type="dxa" w:w="85"/>
              <w:right w:type="dxa" w:w="130"/>
            </w:tcMar>
          </w:tcPr>
          <w:p>
            <w:r>
              <w:rPr>
                <w:rFonts w:ascii="Arial" w:cs="Arial" w:eastAsia="Arial" w:hAnsi="Arial"/>
                <w:b w:val="false"/>
                <w:bCs w:val="false"/>
                <w:sz w:val="18"/>
                <w:szCs w:val="18"/>
              </w:rPr>
              <w:t xml:space="preserve">Ensures data and systems are accessible when needed</w:t>
            </w:r>
          </w:p>
        </w:tc>
      </w:tr>
      <w:tr>
        <w:tc>
          <w:tcPr>
            <w:tcW w:type="dxa" w:w="1800"/>
            <w:tcBorders>
              <w:top w:val="single" w:color="D1D9E6" w:sz="1"/>
              <w:left w:val="single" w:color="D1D9E6" w:sz="1"/>
              <w:bottom w:val="single" w:color="D1D9E6" w:sz="1"/>
              <w:right w:val="single" w:color="D1D9E6" w:sz="1"/>
            </w:tcBorders>
            <w:shd w:fill="F5F8FD" w:val="clear"/>
            <w:tcMar>
              <w:top w:type="dxa" w:w="85"/>
              <w:left w:type="dxa" w:w="130"/>
              <w:bottom w:type="dxa" w:w="85"/>
              <w:right w:type="dxa" w:w="130"/>
            </w:tcMar>
          </w:tcPr>
          <w:p>
            <w:r>
              <w:rPr>
                <w:rFonts w:ascii="Arial" w:cs="Arial" w:eastAsia="Arial" w:hAnsi="Arial"/>
                <w:b/>
                <w:bCs/>
                <w:sz w:val="18"/>
                <w:szCs w:val="18"/>
              </w:rPr>
              <w:t xml:space="preserve">Goal</w:t>
            </w:r>
          </w:p>
        </w:tc>
        <w:tc>
          <w:tcPr>
            <w:tcW w:type="dxa" w:w="2520"/>
            <w:tcBorders>
              <w:top w:val="single" w:color="D1D9E6" w:sz="1"/>
              <w:left w:val="single" w:color="D1D9E6" w:sz="1"/>
              <w:bottom w:val="single" w:color="D1D9E6" w:sz="1"/>
              <w:right w:val="single" w:color="D1D9E6" w:sz="1"/>
            </w:tcBorders>
            <w:shd w:fill="F5F8FD" w:val="clear"/>
            <w:tcMar>
              <w:top w:type="dxa" w:w="85"/>
              <w:left w:type="dxa" w:w="130"/>
              <w:bottom w:type="dxa" w:w="85"/>
              <w:right w:type="dxa" w:w="130"/>
            </w:tcMar>
          </w:tcPr>
          <w:p>
            <w:r>
              <w:rPr>
                <w:rFonts w:ascii="Arial" w:cs="Arial" w:eastAsia="Arial" w:hAnsi="Arial"/>
                <w:b w:val="false"/>
                <w:bCs w:val="false"/>
                <w:sz w:val="18"/>
                <w:szCs w:val="18"/>
              </w:rPr>
              <w:t xml:space="preserve">Prevent unauthorised disclosure</w:t>
            </w:r>
          </w:p>
        </w:tc>
        <w:tc>
          <w:tcPr>
            <w:tcW w:type="dxa" w:w="2520"/>
            <w:tcBorders>
              <w:top w:val="single" w:color="D1D9E6" w:sz="1"/>
              <w:left w:val="single" w:color="D1D9E6" w:sz="1"/>
              <w:bottom w:val="single" w:color="D1D9E6" w:sz="1"/>
              <w:right w:val="single" w:color="D1D9E6" w:sz="1"/>
            </w:tcBorders>
            <w:shd w:fill="F5F8FD" w:val="clear"/>
            <w:tcMar>
              <w:top w:type="dxa" w:w="85"/>
              <w:left w:type="dxa" w:w="130"/>
              <w:bottom w:type="dxa" w:w="85"/>
              <w:right w:type="dxa" w:w="130"/>
            </w:tcMar>
          </w:tcPr>
          <w:p>
            <w:r>
              <w:rPr>
                <w:rFonts w:ascii="Arial" w:cs="Arial" w:eastAsia="Arial" w:hAnsi="Arial"/>
                <w:b w:val="false"/>
                <w:bCs w:val="false"/>
                <w:sz w:val="18"/>
                <w:szCs w:val="18"/>
              </w:rPr>
              <w:t xml:space="preserve">Prevent unauthorised modification</w:t>
            </w:r>
          </w:p>
        </w:tc>
        <w:tc>
          <w:tcPr>
            <w:tcW w:type="dxa" w:w="2520"/>
            <w:tcBorders>
              <w:top w:val="single" w:color="D1D9E6" w:sz="1"/>
              <w:left w:val="single" w:color="D1D9E6" w:sz="1"/>
              <w:bottom w:val="single" w:color="D1D9E6" w:sz="1"/>
              <w:right w:val="single" w:color="D1D9E6" w:sz="1"/>
            </w:tcBorders>
            <w:shd w:fill="F5F8FD" w:val="clear"/>
            <w:tcMar>
              <w:top w:type="dxa" w:w="85"/>
              <w:left w:type="dxa" w:w="130"/>
              <w:bottom w:type="dxa" w:w="85"/>
              <w:right w:type="dxa" w:w="130"/>
            </w:tcMar>
          </w:tcPr>
          <w:p>
            <w:r>
              <w:rPr>
                <w:rFonts w:ascii="Arial" w:cs="Arial" w:eastAsia="Arial" w:hAnsi="Arial"/>
                <w:b w:val="false"/>
                <w:bCs w:val="false"/>
                <w:sz w:val="18"/>
                <w:szCs w:val="18"/>
              </w:rPr>
              <w:t xml:space="preserve">Prevent denial of access / downtime</w:t>
            </w:r>
          </w:p>
        </w:tc>
      </w:tr>
      <w:tr>
        <w:tc>
          <w:tcPr>
            <w:tcW w:type="dxa" w:w="1800"/>
            <w:tcBorders>
              <w:top w:val="single" w:color="D1D9E6" w:sz="1"/>
              <w:left w:val="single" w:color="D1D9E6" w:sz="1"/>
              <w:bottom w:val="single" w:color="D1D9E6" w:sz="1"/>
              <w:right w:val="single" w:color="D1D9E6" w:sz="1"/>
            </w:tcBorders>
            <w:shd w:fill="EBF1FA" w:val="clear"/>
            <w:tcMar>
              <w:top w:type="dxa" w:w="85"/>
              <w:left w:type="dxa" w:w="130"/>
              <w:bottom w:type="dxa" w:w="85"/>
              <w:right w:type="dxa" w:w="130"/>
            </w:tcMar>
          </w:tcPr>
          <w:p>
            <w:r>
              <w:rPr>
                <w:rFonts w:ascii="Arial" w:cs="Arial" w:eastAsia="Arial" w:hAnsi="Arial"/>
                <w:b/>
                <w:bCs/>
                <w:sz w:val="18"/>
                <w:szCs w:val="18"/>
              </w:rPr>
              <w:t xml:space="preserve">Key Controls</w:t>
            </w:r>
          </w:p>
        </w:tc>
        <w:tc>
          <w:tcPr>
            <w:tcW w:type="dxa" w:w="2520"/>
            <w:tcBorders>
              <w:top w:val="single" w:color="D1D9E6" w:sz="1"/>
              <w:left w:val="single" w:color="D1D9E6" w:sz="1"/>
              <w:bottom w:val="single" w:color="D1D9E6" w:sz="1"/>
              <w:right w:val="single" w:color="D1D9E6" w:sz="1"/>
            </w:tcBorders>
            <w:shd w:fill="EBF1FA" w:val="clear"/>
            <w:tcMar>
              <w:top w:type="dxa" w:w="85"/>
              <w:left w:type="dxa" w:w="130"/>
              <w:bottom w:type="dxa" w:w="85"/>
              <w:right w:type="dxa" w:w="130"/>
            </w:tcMar>
          </w:tcPr>
          <w:p>
            <w:r>
              <w:rPr>
                <w:rFonts w:ascii="Arial" w:cs="Arial" w:eastAsia="Arial" w:hAnsi="Arial"/>
                <w:b w:val="false"/>
                <w:bCs w:val="false"/>
                <w:sz w:val="18"/>
                <w:szCs w:val="18"/>
              </w:rPr>
              <w:t xml:space="preserve">Encryption, access control, authentication</w:t>
            </w:r>
          </w:p>
        </w:tc>
        <w:tc>
          <w:tcPr>
            <w:tcW w:type="dxa" w:w="2520"/>
            <w:tcBorders>
              <w:top w:val="single" w:color="D1D9E6" w:sz="1"/>
              <w:left w:val="single" w:color="D1D9E6" w:sz="1"/>
              <w:bottom w:val="single" w:color="D1D9E6" w:sz="1"/>
              <w:right w:val="single" w:color="D1D9E6" w:sz="1"/>
            </w:tcBorders>
            <w:shd w:fill="EBF1FA" w:val="clear"/>
            <w:tcMar>
              <w:top w:type="dxa" w:w="85"/>
              <w:left w:type="dxa" w:w="130"/>
              <w:bottom w:type="dxa" w:w="85"/>
              <w:right w:type="dxa" w:w="130"/>
            </w:tcMar>
          </w:tcPr>
          <w:p>
            <w:r>
              <w:rPr>
                <w:rFonts w:ascii="Arial" w:cs="Arial" w:eastAsia="Arial" w:hAnsi="Arial"/>
                <w:b w:val="false"/>
                <w:bCs w:val="false"/>
                <w:sz w:val="18"/>
                <w:szCs w:val="18"/>
              </w:rPr>
              <w:t xml:space="preserve">Hashing, digital signatures, version control, audit logs</w:t>
            </w:r>
          </w:p>
        </w:tc>
        <w:tc>
          <w:tcPr>
            <w:tcW w:type="dxa" w:w="2520"/>
            <w:tcBorders>
              <w:top w:val="single" w:color="D1D9E6" w:sz="1"/>
              <w:left w:val="single" w:color="D1D9E6" w:sz="1"/>
              <w:bottom w:val="single" w:color="D1D9E6" w:sz="1"/>
              <w:right w:val="single" w:color="D1D9E6" w:sz="1"/>
            </w:tcBorders>
            <w:shd w:fill="EBF1FA" w:val="clear"/>
            <w:tcMar>
              <w:top w:type="dxa" w:w="85"/>
              <w:left w:type="dxa" w:w="130"/>
              <w:bottom w:type="dxa" w:w="85"/>
              <w:right w:type="dxa" w:w="130"/>
            </w:tcMar>
          </w:tcPr>
          <w:p>
            <w:r>
              <w:rPr>
                <w:rFonts w:ascii="Arial" w:cs="Arial" w:eastAsia="Arial" w:hAnsi="Arial"/>
                <w:b w:val="false"/>
                <w:bCs w:val="false"/>
                <w:sz w:val="18"/>
                <w:szCs w:val="18"/>
              </w:rPr>
              <w:t xml:space="preserve">Redundancy, backups, load balancing, DDoS protection</w:t>
            </w:r>
          </w:p>
        </w:tc>
      </w:tr>
      <w:tr>
        <w:tc>
          <w:tcPr>
            <w:tcW w:type="dxa" w:w="1800"/>
            <w:tcBorders>
              <w:top w:val="single" w:color="D1D9E6" w:sz="1"/>
              <w:left w:val="single" w:color="D1D9E6" w:sz="1"/>
              <w:bottom w:val="single" w:color="D1D9E6" w:sz="1"/>
              <w:right w:val="single" w:color="D1D9E6" w:sz="1"/>
            </w:tcBorders>
            <w:shd w:fill="F5F8FD" w:val="clear"/>
            <w:tcMar>
              <w:top w:type="dxa" w:w="85"/>
              <w:left w:type="dxa" w:w="130"/>
              <w:bottom w:type="dxa" w:w="85"/>
              <w:right w:type="dxa" w:w="130"/>
            </w:tcMar>
          </w:tcPr>
          <w:p>
            <w:r>
              <w:rPr>
                <w:rFonts w:ascii="Arial" w:cs="Arial" w:eastAsia="Arial" w:hAnsi="Arial"/>
                <w:b/>
                <w:bCs/>
                <w:sz w:val="18"/>
                <w:szCs w:val="18"/>
              </w:rPr>
              <w:t xml:space="preserve">Common Threat</w:t>
            </w:r>
          </w:p>
        </w:tc>
        <w:tc>
          <w:tcPr>
            <w:tcW w:type="dxa" w:w="2520"/>
            <w:tcBorders>
              <w:top w:val="single" w:color="D1D9E6" w:sz="1"/>
              <w:left w:val="single" w:color="D1D9E6" w:sz="1"/>
              <w:bottom w:val="single" w:color="D1D9E6" w:sz="1"/>
              <w:right w:val="single" w:color="D1D9E6" w:sz="1"/>
            </w:tcBorders>
            <w:shd w:fill="F5F8FD" w:val="clear"/>
            <w:tcMar>
              <w:top w:type="dxa" w:w="85"/>
              <w:left w:type="dxa" w:w="130"/>
              <w:bottom w:type="dxa" w:w="85"/>
              <w:right w:type="dxa" w:w="130"/>
            </w:tcMar>
          </w:tcPr>
          <w:p>
            <w:r>
              <w:rPr>
                <w:rFonts w:ascii="Arial" w:cs="Arial" w:eastAsia="Arial" w:hAnsi="Arial"/>
                <w:b w:val="false"/>
                <w:bCs w:val="false"/>
                <w:sz w:val="18"/>
                <w:szCs w:val="18"/>
              </w:rPr>
              <w:t xml:space="preserve">Data breaches, eavesdropping, leaks</w:t>
            </w:r>
          </w:p>
        </w:tc>
        <w:tc>
          <w:tcPr>
            <w:tcW w:type="dxa" w:w="2520"/>
            <w:tcBorders>
              <w:top w:val="single" w:color="D1D9E6" w:sz="1"/>
              <w:left w:val="single" w:color="D1D9E6" w:sz="1"/>
              <w:bottom w:val="single" w:color="D1D9E6" w:sz="1"/>
              <w:right w:val="single" w:color="D1D9E6" w:sz="1"/>
            </w:tcBorders>
            <w:shd w:fill="F5F8FD" w:val="clear"/>
            <w:tcMar>
              <w:top w:type="dxa" w:w="85"/>
              <w:left w:type="dxa" w:w="130"/>
              <w:bottom w:type="dxa" w:w="85"/>
              <w:right w:type="dxa" w:w="130"/>
            </w:tcMar>
          </w:tcPr>
          <w:p>
            <w:r>
              <w:rPr>
                <w:rFonts w:ascii="Arial" w:cs="Arial" w:eastAsia="Arial" w:hAnsi="Arial"/>
                <w:b w:val="false"/>
                <w:bCs w:val="false"/>
                <w:sz w:val="18"/>
                <w:szCs w:val="18"/>
              </w:rPr>
              <w:t xml:space="preserve">Data tampering, man-in-the-middle attacks</w:t>
            </w:r>
          </w:p>
        </w:tc>
        <w:tc>
          <w:tcPr>
            <w:tcW w:type="dxa" w:w="2520"/>
            <w:tcBorders>
              <w:top w:val="single" w:color="D1D9E6" w:sz="1"/>
              <w:left w:val="single" w:color="D1D9E6" w:sz="1"/>
              <w:bottom w:val="single" w:color="D1D9E6" w:sz="1"/>
              <w:right w:val="single" w:color="D1D9E6" w:sz="1"/>
            </w:tcBorders>
            <w:shd w:fill="F5F8FD" w:val="clear"/>
            <w:tcMar>
              <w:top w:type="dxa" w:w="85"/>
              <w:left w:type="dxa" w:w="130"/>
              <w:bottom w:type="dxa" w:w="85"/>
              <w:right w:type="dxa" w:w="130"/>
            </w:tcMar>
          </w:tcPr>
          <w:p>
            <w:r>
              <w:rPr>
                <w:rFonts w:ascii="Arial" w:cs="Arial" w:eastAsia="Arial" w:hAnsi="Arial"/>
                <w:b w:val="false"/>
                <w:bCs w:val="false"/>
                <w:sz w:val="18"/>
                <w:szCs w:val="18"/>
              </w:rPr>
              <w:t xml:space="preserve">DDoS attacks, ransomware, hardware failure</w:t>
            </w:r>
          </w:p>
        </w:tc>
      </w:tr>
      <w:tr>
        <w:tc>
          <w:tcPr>
            <w:tcW w:type="dxa" w:w="1800"/>
            <w:tcBorders>
              <w:top w:val="single" w:color="D1D9E6" w:sz="1"/>
              <w:left w:val="single" w:color="D1D9E6" w:sz="1"/>
              <w:bottom w:val="single" w:color="D1D9E6" w:sz="1"/>
              <w:right w:val="single" w:color="D1D9E6" w:sz="1"/>
            </w:tcBorders>
            <w:shd w:fill="EBF1FA" w:val="clear"/>
            <w:tcMar>
              <w:top w:type="dxa" w:w="85"/>
              <w:left w:type="dxa" w:w="130"/>
              <w:bottom w:type="dxa" w:w="85"/>
              <w:right w:type="dxa" w:w="130"/>
            </w:tcMar>
          </w:tcPr>
          <w:p>
            <w:r>
              <w:rPr>
                <w:rFonts w:ascii="Arial" w:cs="Arial" w:eastAsia="Arial" w:hAnsi="Arial"/>
                <w:b/>
                <w:bCs/>
                <w:sz w:val="18"/>
                <w:szCs w:val="18"/>
              </w:rPr>
              <w:t xml:space="preserve">Real-World Example</w:t>
            </w:r>
          </w:p>
        </w:tc>
        <w:tc>
          <w:tcPr>
            <w:tcW w:type="dxa" w:w="2520"/>
            <w:tcBorders>
              <w:top w:val="single" w:color="D1D9E6" w:sz="1"/>
              <w:left w:val="single" w:color="D1D9E6" w:sz="1"/>
              <w:bottom w:val="single" w:color="D1D9E6" w:sz="1"/>
              <w:right w:val="single" w:color="D1D9E6" w:sz="1"/>
            </w:tcBorders>
            <w:shd w:fill="EBF1FA" w:val="clear"/>
            <w:tcMar>
              <w:top w:type="dxa" w:w="85"/>
              <w:left w:type="dxa" w:w="130"/>
              <w:bottom w:type="dxa" w:w="85"/>
              <w:right w:type="dxa" w:w="130"/>
            </w:tcMar>
          </w:tcPr>
          <w:p>
            <w:r>
              <w:rPr>
                <w:rFonts w:ascii="Arial" w:cs="Arial" w:eastAsia="Arial" w:hAnsi="Arial"/>
                <w:b w:val="false"/>
                <w:bCs w:val="false"/>
                <w:sz w:val="18"/>
                <w:szCs w:val="18"/>
              </w:rPr>
              <w:t xml:space="preserve">Yahoo data breach (2013–14)</w:t>
            </w:r>
          </w:p>
        </w:tc>
        <w:tc>
          <w:tcPr>
            <w:tcW w:type="dxa" w:w="2520"/>
            <w:tcBorders>
              <w:top w:val="single" w:color="D1D9E6" w:sz="1"/>
              <w:left w:val="single" w:color="D1D9E6" w:sz="1"/>
              <w:bottom w:val="single" w:color="D1D9E6" w:sz="1"/>
              <w:right w:val="single" w:color="D1D9E6" w:sz="1"/>
            </w:tcBorders>
            <w:shd w:fill="EBF1FA" w:val="clear"/>
            <w:tcMar>
              <w:top w:type="dxa" w:w="85"/>
              <w:left w:type="dxa" w:w="130"/>
              <w:bottom w:type="dxa" w:w="85"/>
              <w:right w:type="dxa" w:w="130"/>
            </w:tcMar>
          </w:tcPr>
          <w:p>
            <w:r>
              <w:rPr>
                <w:rFonts w:ascii="Arial" w:cs="Arial" w:eastAsia="Arial" w:hAnsi="Arial"/>
                <w:b w:val="false"/>
                <w:bCs w:val="false"/>
                <w:sz w:val="18"/>
                <w:szCs w:val="18"/>
              </w:rPr>
              <w:t xml:space="preserve">SolarWinds supply chain attack (2020)</w:t>
            </w:r>
          </w:p>
        </w:tc>
        <w:tc>
          <w:tcPr>
            <w:tcW w:type="dxa" w:w="2520"/>
            <w:tcBorders>
              <w:top w:val="single" w:color="D1D9E6" w:sz="1"/>
              <w:left w:val="single" w:color="D1D9E6" w:sz="1"/>
              <w:bottom w:val="single" w:color="D1D9E6" w:sz="1"/>
              <w:right w:val="single" w:color="D1D9E6" w:sz="1"/>
            </w:tcBorders>
            <w:shd w:fill="EBF1FA" w:val="clear"/>
            <w:tcMar>
              <w:top w:type="dxa" w:w="85"/>
              <w:left w:type="dxa" w:w="130"/>
              <w:bottom w:type="dxa" w:w="85"/>
              <w:right w:type="dxa" w:w="130"/>
            </w:tcMar>
          </w:tcPr>
          <w:p>
            <w:r>
              <w:rPr>
                <w:rFonts w:ascii="Arial" w:cs="Arial" w:eastAsia="Arial" w:hAnsi="Arial"/>
                <w:b w:val="false"/>
                <w:bCs w:val="false"/>
                <w:sz w:val="18"/>
                <w:szCs w:val="18"/>
              </w:rPr>
              <w:t xml:space="preserve">Colonial Pipeline attack (2021)</w:t>
            </w:r>
          </w:p>
        </w:tc>
      </w:tr>
    </w:tbl>
    <w:p>
      <w:pPr>
        <w:spacing w:after="300"/>
      </w:pPr>
    </w:p>
    <w:p>
      <w:pPr>
        <w:pBdr>
          <w:bottom w:val="single" w:color="1B2A4A" w:sz="12" w:space="1"/>
        </w:pBdr>
        <w:spacing w:after="280" w:before="280"/>
      </w:pPr>
    </w:p>
    <w:p>
      <w:pPr>
        <w:spacing w:before="160"/>
        <w:jc w:val="center"/>
      </w:pPr>
      <w:r>
        <w:rPr>
          <w:color w:val="AAAAAA"/>
          <w:sz w:val="16"/>
          <w:szCs w:val="16"/>
        </w:rPr>
        <w:t xml:space="preserve">Cyber Security Task 02  ·  Part A: Understanding the CIA Triad  ·  Pratiksha Vishwakarma</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563A8"/>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1B2A4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2026-06-19T04:20:57.025Z</dcterms:created>
  <dcterms:modified xsi:type="dcterms:W3CDTF">2026-06-19T04:20:57.038Z</dcterms:modified>
</cp:coreProperties>
</file>

<file path=docProps/custom.xml><?xml version="1.0" encoding="utf-8"?>
<Properties xmlns="http://schemas.openxmlformats.org/officeDocument/2006/custom-properties" xmlns:vt="http://schemas.openxmlformats.org/officeDocument/2006/docPropsVTypes"/>
</file>