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2A4A" w:val="clear"/>
            <w:tcMar>
              <w:top w:type="dxa" w:w="200"/>
              <w:left w:type="dxa" w:w="360"/>
              <w:bottom w:type="dxa" w:w="200"/>
              <w:right w:type="dxa" w:w="360"/>
            </w:tcMar>
          </w:tcPr>
          <w:p>
            <w:pPr>
              <w:spacing w:after="80"/>
              <w:jc w:val="center"/>
            </w:pPr>
            <w:r>
              <w:rPr>
                <w:rFonts w:ascii="Arial" w:cs="Arial" w:eastAsia="Arial" w:hAnsi="Arial"/>
                <w:b/>
                <w:bCs/>
                <w:color w:val="FFFFFF"/>
                <w:sz w:val="52"/>
                <w:szCs w:val="52"/>
              </w:rPr>
              <w:t xml:space="preserve">CYBER SECURITY TASK 02</w:t>
            </w:r>
          </w:p>
          <w:p>
            <w:pPr>
              <w:spacing w:after="0"/>
              <w:jc w:val="center"/>
            </w:pPr>
            <w:r>
              <w:rPr>
                <w:rFonts w:ascii="Arial" w:cs="Arial" w:eastAsia="Arial" w:hAnsi="Arial"/>
                <w:b/>
                <w:bCs/>
                <w:color w:val="A8C8F0"/>
                <w:sz w:val="30"/>
                <w:szCs w:val="30"/>
              </w:rPr>
              <w:t xml:space="preserve">Part B: Real-World Case Study</w:t>
            </w:r>
          </w:p>
        </w:tc>
      </w:tr>
    </w:tbl>
    <w:p>
      <w:pPr>
        <w:spacing w:after="200"/>
      </w:pPr>
    </w:p>
    <w:p>
      <w:pPr>
        <w:spacing w:after="80"/>
        <w:jc w:val="center"/>
      </w:pPr>
      <w:r>
        <w:rPr>
          <w:i/>
          <w:iCs/>
          <w:color w:val="6B7280"/>
          <w:sz w:val="22"/>
          <w:szCs w:val="22"/>
        </w:rPr>
        <w:t xml:space="preserve">Case Study: WannaCry Ransomware Attack (2017)</w:t>
      </w:r>
    </w:p>
    <w:p>
      <w:pPr>
        <w:pBdr>
          <w:bottom w:val="single" w:color="2563A8" w:sz="4" w:space="1"/>
        </w:pBdr>
        <w:spacing w:after="220"/>
      </w:pPr>
    </w:p>
    <w:p>
      <w:pPr>
        <w:spacing w:after="60"/>
      </w:pPr>
    </w:p>
    <w:p>
      <w:pPr>
        <w:spacing w:after="60"/>
        <w:jc w:val="center"/>
      </w:pPr>
      <w:r>
        <w:rPr>
          <w:color w:val="6B7280"/>
          <w:sz w:val="19"/>
          <w:szCs w:val="19"/>
        </w:rPr>
        <w:t xml:space="preserve">Submitted By</w:t>
      </w:r>
    </w:p>
    <w:p>
      <w:pPr>
        <w:spacing w:after="60"/>
        <w:jc w:val="center"/>
      </w:pPr>
      <w:r>
        <w:rPr>
          <w:b/>
          <w:bCs/>
          <w:color w:val="1B2A4A"/>
          <w:sz w:val="30"/>
          <w:szCs w:val="30"/>
        </w:rPr>
        <w:t xml:space="preserve">Pratiksha Vishwakarma</w:t>
      </w:r>
    </w:p>
    <w:p>
      <w:pPr>
        <w:spacing w:after="60"/>
        <w:jc w:val="center"/>
      </w:pPr>
      <w:r>
        <w:rPr>
          <w:color w:val="6B7280"/>
          <w:sz w:val="19"/>
          <w:szCs w:val="19"/>
        </w:rPr>
        <w:t xml:space="preserve">Internship Cybersecurity Task  ·  CIA Triad &amp; Risk Assessment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What Happened?</w:t>
            </w:r>
          </w:p>
        </w:tc>
      </w:tr>
    </w:tbl>
    <w:p>
      <w:pPr>
        <w:spacing w:after="80"/>
      </w:pPr>
    </w:p>
    <w:p>
      <w:pPr>
        <w:spacing w:after="140"/>
      </w:pPr>
      <w:r>
        <w:rPr>
          <w:rFonts w:ascii="Arial" w:cs="Arial" w:eastAsia="Arial" w:hAnsi="Arial"/>
          <w:sz w:val="22"/>
          <w:szCs w:val="22"/>
        </w:rPr>
        <w:t xml:space="preserve">In May 2017, a ransomware worm named WannaCry was released onto the internet and spread globally within hours, ultimately infecting more than 200,000 computers across approximately 150 countries. WannaCry exploited a critical vulnerability in Microsoft Windows' Server Message Block (SMB) protocol, known as EternalBlue — a vulnerability originally discovered and weaponised by the US National Security Agency (NSA) before being leaked publicly by a hacker group called The Shadow Brokers in April 2017.</w:t>
      </w:r>
    </w:p>
    <w:p>
      <w:pPr>
        <w:spacing w:after="140"/>
      </w:pPr>
      <w:r>
        <w:rPr>
          <w:rFonts w:ascii="Arial" w:cs="Arial" w:eastAsia="Arial" w:hAnsi="Arial"/>
          <w:sz w:val="22"/>
          <w:szCs w:val="22"/>
        </w:rPr>
        <w:t xml:space="preserve">Unlike traditional ransomware that relies on a victim opening a malicious email attachment, WannaCry behaved like a self-propagating worm — once it infected one unpatched machine on a network, it automatically scanned for and infected other vulnerable machines without any user interaction. This allowed it to spread at extraordinary speed across entire corporate and institutional networks within minutes.</w:t>
      </w:r>
    </w:p>
    <w:p>
      <w:pPr>
        <w:spacing w:after="140"/>
      </w:pPr>
      <w:r>
        <w:rPr>
          <w:rFonts w:ascii="Arial" w:cs="Arial" w:eastAsia="Arial" w:hAnsi="Arial"/>
          <w:sz w:val="22"/>
          <w:szCs w:val="22"/>
        </w:rPr>
        <w:t xml:space="preserve">Once a system was infected, WannaCry encrypted the victim's files and displayed a ransom note demanding payment of $300 to $600 USD in Bitcoin, with the ransom amount increasing and a countdown threatening permanent file deletion if payment was not made within a specified timeframe.</w:t>
      </w:r>
    </w:p>
    <w:p>
      <w:pPr>
        <w:spacing w:after="140"/>
      </w:pPr>
      <w:r>
        <w:rPr>
          <w:rFonts w:ascii="Arial" w:cs="Arial" w:eastAsia="Arial" w:hAnsi="Arial"/>
          <w:sz w:val="22"/>
          <w:szCs w:val="22"/>
        </w:rPr>
        <w:t xml:space="preserve">The attack was significantly slowed within days after a security researcher discovered a 'kill switch' — an unregistered domain name hardcoded into the malware — and registered it, which inadvertently stopped further propagation of that version of the worm. Microsoft had released a patch for the EternalBlue vulnerability nearly two months earlier (March 2017), but a large number of organisations worldwide had not yet applied it.</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Which Part of the CIA Triad Was Affected?</w:t>
            </w:r>
          </w:p>
        </w:tc>
      </w:tr>
    </w:tbl>
    <w:p>
      <w:pPr>
        <w:spacing w:after="80"/>
      </w:pPr>
    </w:p>
    <w:p>
      <w:pPr>
        <w:spacing w:after="140"/>
      </w:pPr>
      <w:r>
        <w:rPr>
          <w:rFonts w:ascii="Arial" w:cs="Arial" w:eastAsia="Arial" w:hAnsi="Arial"/>
          <w:sz w:val="22"/>
          <w:szCs w:val="22"/>
        </w:rPr>
        <w:t xml:space="preserve">WannaCry primarily attacked Availability. By encrypting files and locking users out of their own systems and data, the malware rendered critical systems and information completely inaccessible to their legitimate, authorised users. Hospitals could not access patient records, businesses could not access operational data, and entire IT networks were taken offline.</w:t>
      </w:r>
    </w:p>
    <w:p>
      <w:pPr>
        <w:spacing w:after="140"/>
      </w:pPr>
      <w:r>
        <w:rPr>
          <w:rFonts w:ascii="Arial" w:cs="Arial" w:eastAsia="Arial" w:hAnsi="Arial"/>
          <w:sz w:val="22"/>
          <w:szCs w:val="22"/>
        </w:rPr>
        <w:t xml:space="preserve">Although Availability was the primary target, the attack also had a secondary impact on Integrity, since encrypted files were technically altered from their original, usable state and — without the decryption key — could not be restored to their original, trustworthy condition. Confidentiality was not significantly affected, as WannaCry was not designed to exfiltrate or steal data; its objective was purely to deny access and extort payment.</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What Was the Impact?</w:t>
            </w:r>
          </w:p>
        </w:tc>
      </w:tr>
    </w:tbl>
    <w:p>
      <w:pPr>
        <w:spacing w:after="80"/>
      </w:pPr>
    </w:p>
    <w:p>
      <w:pPr>
        <w:pStyle w:val="ListParagraph"/>
        <w:numPr>
          <w:ilvl w:val="0"/>
          <w:numId w:val="2"/>
        </w:numPr>
        <w:spacing w:after="110"/>
      </w:pPr>
      <w:r>
        <w:rPr>
          <w:rFonts w:ascii="Arial" w:cs="Arial" w:eastAsia="Arial" w:hAnsi="Arial"/>
          <w:sz w:val="22"/>
          <w:szCs w:val="22"/>
        </w:rPr>
        <w:t xml:space="preserve">Global Scale: Over 200,000 computers infected across approximately 150 countries within a matter of days.</w:t>
      </w:r>
    </w:p>
    <w:p>
      <w:pPr>
        <w:pStyle w:val="ListParagraph"/>
        <w:numPr>
          <w:ilvl w:val="0"/>
          <w:numId w:val="2"/>
        </w:numPr>
        <w:spacing w:after="110"/>
      </w:pPr>
      <w:r>
        <w:rPr>
          <w:rFonts w:ascii="Arial" w:cs="Arial" w:eastAsia="Arial" w:hAnsi="Arial"/>
          <w:sz w:val="22"/>
          <w:szCs w:val="22"/>
        </w:rPr>
        <w:t xml:space="preserve">Healthcare Disruption: The UK's National Health Service (NHS) was severely affected — at least 80 of 236 hospital trusts were impacted, with approximately 19,000 medical appointments and operations cancelled.</w:t>
      </w:r>
    </w:p>
    <w:p>
      <w:pPr>
        <w:pStyle w:val="ListParagraph"/>
        <w:numPr>
          <w:ilvl w:val="0"/>
          <w:numId w:val="2"/>
        </w:numPr>
        <w:spacing w:after="110"/>
      </w:pPr>
      <w:r>
        <w:rPr>
          <w:rFonts w:ascii="Arial" w:cs="Arial" w:eastAsia="Arial" w:hAnsi="Arial"/>
          <w:sz w:val="22"/>
          <w:szCs w:val="22"/>
        </w:rPr>
        <w:t xml:space="preserve">Financial Cost: Total global economic damage has been estimated at approximately $4 billion USD, considering both ransom payments and the cost of system downtime, recovery, and lost productivity.</w:t>
      </w:r>
    </w:p>
    <w:p>
      <w:pPr>
        <w:pStyle w:val="ListParagraph"/>
        <w:numPr>
          <w:ilvl w:val="0"/>
          <w:numId w:val="2"/>
        </w:numPr>
        <w:spacing w:after="110"/>
      </w:pPr>
      <w:r>
        <w:rPr>
          <w:rFonts w:ascii="Arial" w:cs="Arial" w:eastAsia="Arial" w:hAnsi="Arial"/>
          <w:sz w:val="22"/>
          <w:szCs w:val="22"/>
        </w:rPr>
        <w:t xml:space="preserve">Corporate Impact: Major organisations were affected, including FedEx, Renault, Telefónica, and Russia's Ministry of Internal Affairs, demonstrating the attack's indiscriminate, global reach across both private and public sectors.</w:t>
      </w:r>
    </w:p>
    <w:p>
      <w:pPr>
        <w:pStyle w:val="ListParagraph"/>
        <w:numPr>
          <w:ilvl w:val="0"/>
          <w:numId w:val="2"/>
        </w:numPr>
        <w:spacing w:after="110"/>
      </w:pPr>
      <w:r>
        <w:rPr>
          <w:rFonts w:ascii="Arial" w:cs="Arial" w:eastAsia="Arial" w:hAnsi="Arial"/>
          <w:sz w:val="22"/>
          <w:szCs w:val="22"/>
        </w:rPr>
        <w:t xml:space="preserve">Reputational Damage: Affected organisations — particularly healthcare providers — faced significant public scrutiny over inadequate IT security and outdated, unpatched systems.</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How Could It Have Been Prevented?</w:t>
            </w:r>
          </w:p>
        </w:tc>
      </w:tr>
    </w:tbl>
    <w:p>
      <w:pPr>
        <w:spacing w:after="80"/>
      </w:pPr>
    </w:p>
    <w:p>
      <w:pPr>
        <w:pStyle w:val="ListParagraph"/>
        <w:numPr>
          <w:ilvl w:val="0"/>
          <w:numId w:val="2"/>
        </w:numPr>
        <w:spacing w:after="110"/>
      </w:pPr>
      <w:r>
        <w:rPr>
          <w:rFonts w:ascii="Arial" w:cs="Arial" w:eastAsia="Arial" w:hAnsi="Arial"/>
          <w:sz w:val="22"/>
          <w:szCs w:val="22"/>
        </w:rPr>
        <w:t xml:space="preserve">Timely Patch Management: Microsoft released a security patch addressing the EternalBlue vulnerability (MS17-010) approximately two months before the attack. Organisations that applied this patch promptly were not vulnerable to the exploit.</w:t>
      </w:r>
    </w:p>
    <w:p>
      <w:pPr>
        <w:pStyle w:val="ListParagraph"/>
        <w:numPr>
          <w:ilvl w:val="0"/>
          <w:numId w:val="2"/>
        </w:numPr>
        <w:spacing w:after="110"/>
      </w:pPr>
      <w:r>
        <w:rPr>
          <w:rFonts w:ascii="Arial" w:cs="Arial" w:eastAsia="Arial" w:hAnsi="Arial"/>
          <w:sz w:val="22"/>
          <w:szCs w:val="22"/>
        </w:rPr>
        <w:t xml:space="preserve">Network Segmentation: Properly segmented networks would have limited the worm's ability to self-propagate from one infected machine to the rest of the organisation's IT infrastructure.</w:t>
      </w:r>
    </w:p>
    <w:p>
      <w:pPr>
        <w:pStyle w:val="ListParagraph"/>
        <w:numPr>
          <w:ilvl w:val="0"/>
          <w:numId w:val="2"/>
        </w:numPr>
        <w:spacing w:after="110"/>
      </w:pPr>
      <w:r>
        <w:rPr>
          <w:rFonts w:ascii="Arial" w:cs="Arial" w:eastAsia="Arial" w:hAnsi="Arial"/>
          <w:sz w:val="22"/>
          <w:szCs w:val="22"/>
        </w:rPr>
        <w:t xml:space="preserve">Disabling Legacy Protocols: Disabling the outdated SMBv1 protocol — which had no legitimate business need in most modern environments — would have eliminated the specific attack vector entirely.</w:t>
      </w:r>
    </w:p>
    <w:p>
      <w:pPr>
        <w:pStyle w:val="ListParagraph"/>
        <w:numPr>
          <w:ilvl w:val="0"/>
          <w:numId w:val="2"/>
        </w:numPr>
        <w:spacing w:after="110"/>
      </w:pPr>
      <w:r>
        <w:rPr>
          <w:rFonts w:ascii="Arial" w:cs="Arial" w:eastAsia="Arial" w:hAnsi="Arial"/>
          <w:sz w:val="22"/>
          <w:szCs w:val="22"/>
        </w:rPr>
        <w:t xml:space="preserve">Regular Offline Backups: Organisations with comprehensive, regularly tested offline backups could have restored encrypted systems without needing to pay any ransom or suffer prolonged downtime.</w:t>
      </w:r>
    </w:p>
    <w:p>
      <w:pPr>
        <w:pStyle w:val="ListParagraph"/>
        <w:numPr>
          <w:ilvl w:val="0"/>
          <w:numId w:val="2"/>
        </w:numPr>
        <w:spacing w:after="110"/>
      </w:pPr>
      <w:r>
        <w:rPr>
          <w:rFonts w:ascii="Arial" w:cs="Arial" w:eastAsia="Arial" w:hAnsi="Arial"/>
          <w:sz w:val="22"/>
          <w:szCs w:val="22"/>
        </w:rPr>
        <w:t xml:space="preserve">Endpoint Detection Tools: Modern endpoint detection and response (EDR) solutions could have identified and blocked the worm's unusual network scanning and propagation behaviour before widespread encryption occurred.</w:t>
      </w:r>
    </w:p>
    <w:p>
      <w:pPr>
        <w:pStyle w:val="ListParagraph"/>
        <w:numPr>
          <w:ilvl w:val="0"/>
          <w:numId w:val="2"/>
        </w:numPr>
        <w:spacing w:after="110"/>
      </w:pPr>
      <w:r>
        <w:rPr>
          <w:rFonts w:ascii="Arial" w:cs="Arial" w:eastAsia="Arial" w:hAnsi="Arial"/>
          <w:sz w:val="22"/>
          <w:szCs w:val="22"/>
        </w:rPr>
        <w:t xml:space="preserve">Security Awareness and Incident Response Planning: A well-prepared incident response plan would have enabled faster isolation of infected systems and minimised the operational impact across affected organisations.</w:t>
      </w:r>
    </w:p>
    <w:p>
      <w:pPr>
        <w:spacing w:after="300"/>
      </w:pPr>
    </w:p>
    <w:p>
      <w:pPr>
        <w:pBdr>
          <w:bottom w:val="single" w:color="1B2A4A" w:sz="12" w:space="1"/>
        </w:pBdr>
        <w:spacing w:after="280" w:before="280"/>
      </w:pPr>
    </w:p>
    <w:p>
      <w:pPr>
        <w:spacing w:before="160"/>
        <w:jc w:val="center"/>
      </w:pPr>
      <w:r>
        <w:rPr>
          <w:color w:val="AAAAAA"/>
          <w:sz w:val="16"/>
          <w:szCs w:val="16"/>
        </w:rPr>
        <w:t xml:space="preserve">Cyber Security Task 02  ·  Part B: Real-World Case Study — WannaCry Ransomware  ·  Pratiksha Vishwakarma</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2A4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2026-06-19T04:20:57.055Z</dcterms:created>
  <dcterms:modified xsi:type="dcterms:W3CDTF">2026-06-19T04:20:57.055Z</dcterms:modified>
</cp:coreProperties>
</file>

<file path=docProps/custom.xml><?xml version="1.0" encoding="utf-8"?>
<Properties xmlns="http://schemas.openxmlformats.org/officeDocument/2006/custom-properties" xmlns:vt="http://schemas.openxmlformats.org/officeDocument/2006/docPropsVTypes"/>
</file>