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CYBER SECURITY TASK 02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F0"/>
                <w:sz w:val="30"/>
                <w:szCs w:val="30"/>
              </w:rPr>
              <w:t xml:space="preserve">Part C: Risk Assessment Activity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Security Analyst Role-Play  ·  College Asset Risk Assessment</w:t>
      </w:r>
    </w:p>
    <w:p>
      <w:pPr>
        <w:pBdr>
          <w:bottom w:val="single" w:color="2563A8" w:sz="4" w:space="1"/>
        </w:pBdr>
        <w:spacing w:after="220"/>
      </w:pPr>
    </w:p>
    <w:p>
      <w:pPr>
        <w:spacing w:after="60"/>
      </w:pP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Submitted By</w:t>
      </w:r>
    </w:p>
    <w:p>
      <w:pPr>
        <w:spacing w:after="60"/>
        <w:jc w:val="center"/>
      </w:pPr>
      <w:r>
        <w:rPr>
          <w:b/>
          <w:bCs/>
          <w:color w:val="1B2A4A"/>
          <w:sz w:val="30"/>
          <w:szCs w:val="30"/>
        </w:rPr>
        <w:t xml:space="preserve">Pratiksha Vishwakarma</w:t>
      </w: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Internship Cybersecurity Task  ·  CIA Triad &amp; Risk Assessment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Scenario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Acting in the role of a Security Analyst for a college, the following assets were identified as requiring protection. Each asset was evaluated against its most relevant threat, the potential impact of that threat materialising, and an overall risk level — calculated as a function of both the likelihood and impact of the threat.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Asset Identification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following 8 critical assets were identified as requiring protection — exceeding the minimum requirement of 5 assets: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Student Records — primary threat: Data Breach / Unauthorised Access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Examination Data — primary threat: Data Tampering / Leakage Before Exams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College Website — primary threat: Defacement / DDoS Attack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Faculty Information — primary threat: Phishing / Identity Theft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Network Infrastructure — primary threat: Malware / Ransomware Attack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Financial / Fee Payment Systems — primary threat: Fraud / Unauthorised Transactions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Email &amp; Communication Systems — primary threat: Phishing / Business Email Compromise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Library Digital Resources — primary threat: Unauthorised Access / Piracy</w:t>
      </w:r>
    </w:p>
    <w:p>
      <w:pPr>
        <w:pBdr>
          <w:bottom w:val="single" w:color="D1D9E6" w:sz="2" w:space="1"/>
        </w:pBdr>
        <w:spacing w:after="32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Complete Risk Assessment Table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1930"/>
        <w:gridCol w:w="193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Student Records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Breach / Unauthorised Access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Examination Data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Tampering / Leakage Before Exams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College Website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Defacement / DDoS Attack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Faculty Information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/ Identity Theft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Network Infrastructure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Malware / Ransomware Attack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Financial / Fee Payment Systems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Fraud / Unauthorised Transactions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&amp; Communication Systems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/ Business Email Compromise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Library Digital Resources</w:t>
            </w:r>
          </w:p>
        </w:tc>
        <w:tc>
          <w:tcPr>
            <w:tcW w:type="dxa" w:w="29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Unauthorised Access / Piracy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9"/>
                <w:szCs w:val="19"/>
              </w:rPr>
              <w:t xml:space="preserve">Low</w:t>
            </w:r>
          </w:p>
        </w:tc>
        <w:tc>
          <w:tcPr>
            <w:tcW w:type="dxa" w:w="193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Risk Level Legend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 High Risk — Immediate action required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🟠  Medium Risk — Plan mitigation soon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🟢  Low Risk — Monitor periodically</w:t>
            </w:r>
          </w:p>
        </w:tc>
      </w:tr>
    </w:tbl>
    <w:p>
      <w:pPr>
        <w:spacing w:after="300"/>
      </w:pPr>
    </w:p>
    <w:p>
      <w:pPr>
        <w:pBdr>
          <w:bottom w:val="single" w:color="1B2A4A" w:sz="12" w:space="1"/>
        </w:pBdr>
        <w:spacing w:after="280" w:before="280"/>
      </w:pPr>
    </w:p>
    <w:p>
      <w:pPr>
        <w:spacing w:before="160"/>
        <w:jc w:val="center"/>
      </w:pPr>
      <w:r>
        <w:rPr>
          <w:color w:val="AAAAAA"/>
          <w:sz w:val="16"/>
          <w:szCs w:val="16"/>
        </w:rPr>
        <w:t xml:space="preserve">Cyber Security Task 02  ·  Part C: Risk Assessment Activity  ·  Pratiksha Vishwakarma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563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2A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2026-06-19T04:20:57.070Z</dcterms:created>
  <dcterms:modified xsi:type="dcterms:W3CDTF">2026-06-19T04:20:57.070Z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