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STANDARD PAYMENT TERMS POLICY</w:t>
      </w:r>
    </w:p>
    <w:p>
      <w:pPr>
        <w:jc w:val="center"/>
      </w:pPr>
      <w:r>
        <w:rPr>
          <w:i/>
        </w:rPr>
        <w:t>ABC Technologies Pvt. Ltd. — Fictional Project Knowledge Base Document</w:t>
      </w:r>
    </w:p>
    <w:p>
      <w:r>
        <w:t>Policy Owner: Procurement &amp; Finance</w:t>
        <w:br/>
        <w:t>Policy Purpose: Define the standard payment terms to be used when reviewing vendor and supplier contracts.</w:t>
      </w:r>
    </w:p>
    <w:p>
      <w:r>
        <w:rPr>
          <w:b/>
        </w:rPr>
        <w:t>1. Standard Payment Term</w:t>
      </w:r>
    </w:p>
    <w:p>
      <w:r>
        <w:t>The standard payment term for approved vendors and suppliers is thirty (30) calendar days from the date of receipt of a valid and undisputed invoice.</w:t>
      </w:r>
    </w:p>
    <w:p>
      <w:r>
        <w:rPr>
          <w:b/>
        </w:rPr>
        <w:t>2. Longer Payment Terms</w:t>
      </w:r>
    </w:p>
    <w:p>
      <w:r>
        <w:t>Payment terms longer than thirty (30) calendar days are considered non-standard and require review and approval by an authorized Procurement or Finance representative before the contract is approved.</w:t>
      </w:r>
    </w:p>
    <w:p>
      <w:r>
        <w:rPr>
          <w:b/>
        </w:rPr>
        <w:t>3. Contract Review Requirement</w:t>
      </w:r>
    </w:p>
    <w:p>
      <w:r>
        <w:t>During contract review, the payment clause should be compared with this policy. Any payment period exceeding thirty (30) calendar days should be identified as a policy deviation.</w:t>
      </w:r>
    </w:p>
    <w:p>
      <w:r>
        <w:rPr>
          <w:b/>
        </w:rPr>
        <w:t>4. Documentation of Exceptions</w:t>
      </w:r>
    </w:p>
    <w:p>
      <w:r>
        <w:t>Approved exceptions to the standard payment term should be documented in the contract review record, including the approved payment period and the appropriate approval.</w:t>
      </w:r>
    </w:p>
    <w:p>
      <w:r>
        <w:rPr>
          <w:b/>
        </w:rPr>
        <w:t>5. Scope</w:t>
      </w:r>
    </w:p>
    <w:p>
      <w:r>
        <w:t>This policy applies to vendor, supplier, consulting, professional-services, and other commercial agreements where the Company is responsible for making payments to an external party.</w:t>
      </w:r>
    </w:p>
    <w:p/>
    <w:p>
      <w:r>
        <w:t>Project Note: This is a fictional policy created for the AI Contract Lifecycle &amp; Compliance Review Agent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