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Epi Aggregator — Experience Builder widget</w:t>
      </w:r>
    </w:p>
    <w:p>
      <w:r>
        <w:t>Widget custom pour ArcGIS Experience Builder, conçu pour les line-lists d'épidémies (MSF et partenaires humanitaires). Il transforme un champ de date hétérogène en périodes directement utilisables par les cartes, graphiques, listes, tables et indicateurs connectés à la même source.</w:t>
      </w:r>
    </w:p>
    <w:p>
      <w:pPr>
        <w:pStyle w:val="Heading2"/>
      </w:pPr>
      <w:r>
        <w:t>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5270"/>
          </w:tcPr>
          <w:p>
            <w:r>
              <w:rPr>
                <w:b/>
              </w:rPr>
            </w:r>
            <w:r>
              <w:rPr>
                <w:b/>
              </w:rPr>
              <w:t>Valeur</w:t>
            </w:r>
          </w:p>
        </w:tc>
      </w:tr>
      <w:tr>
        <w:tc>
          <w:tcPr>
            <w:tcW w:type="dxa" w:w="5270"/>
          </w:tcPr>
          <w:p>
            <w:r/>
            <w:r>
              <w:t>Version du widget</w:t>
            </w:r>
          </w:p>
        </w:tc>
        <w:tc>
          <w:tcPr>
            <w:tcW w:type="dxa" w:w="5270"/>
          </w:tcPr>
          <w:p>
            <w:r/>
            <w:r>
              <w:rPr>
                <w:rFonts w:ascii="Consolas" w:hAnsi="Consolas"/>
                <w:sz w:val="17"/>
              </w:rPr>
              <w:t>2.0.0</w:t>
            </w:r>
            <w:r>
              <w:t xml:space="preserve"> (</w:t>
            </w:r>
            <w:r>
              <w:rPr>
                <w:rFonts w:ascii="Consolas" w:hAnsi="Consolas"/>
                <w:sz w:val="17"/>
              </w:rPr>
              <w:t>manifest.json</w:t>
            </w:r>
            <w:r>
              <w:t>)</w:t>
            </w:r>
          </w:p>
        </w:tc>
      </w:tr>
      <w:tr>
        <w:tc>
          <w:tcPr>
            <w:tcW w:type="dxa" w:w="5270"/>
          </w:tcPr>
          <w:p>
            <w:r/>
            <w:r>
              <w:t>Version Experience Builder déclarée</w:t>
            </w:r>
          </w:p>
        </w:tc>
        <w:tc>
          <w:tcPr>
            <w:tcW w:type="dxa" w:w="5270"/>
          </w:tcPr>
          <w:p>
            <w:r/>
            <w:r>
              <w:rPr>
                <w:rFonts w:ascii="Consolas" w:hAnsi="Consolas"/>
                <w:sz w:val="17"/>
              </w:rPr>
              <w:t>exbVersion: "1.14.0"</w:t>
            </w:r>
            <w:r>
              <w:t xml:space="preserve"> — l'outillage de test cible ExB 1.15 / Node 20 LTS ; à confirmer par le GIS Centre</w:t>
            </w:r>
          </w:p>
        </w:tc>
      </w:tr>
      <w:tr>
        <w:tc>
          <w:tcPr>
            <w:tcW w:type="dxa" w:w="5270"/>
          </w:tcPr>
          <w:p>
            <w:r/>
            <w:r>
              <w:t>Licence</w:t>
            </w:r>
          </w:p>
        </w:tc>
        <w:tc>
          <w:tcPr>
            <w:tcW w:type="dxa" w:w="5270"/>
          </w:tcPr>
          <w:p>
            <w:r/>
            <w:r>
              <w:t>Apache-2.0</w:t>
            </w:r>
          </w:p>
        </w:tc>
      </w:tr>
      <w:tr>
        <w:tc>
          <w:tcPr>
            <w:tcW w:type="dxa" w:w="5270"/>
          </w:tcPr>
          <w:p>
            <w:r/>
            <w:r>
              <w:t>Locales</w:t>
            </w:r>
          </w:p>
        </w:tc>
        <w:tc>
          <w:tcPr>
            <w:tcW w:type="dxa" w:w="5270"/>
          </w:tcPr>
          <w:p>
            <w:r/>
            <w:r>
              <w:rPr>
                <w:rFonts w:ascii="Consolas" w:hAnsi="Consolas"/>
                <w:sz w:val="17"/>
              </w:rPr>
              <w:t>en</w:t>
            </w:r>
            <w:r>
              <w:t xml:space="preserve">, </w:t>
            </w:r>
            <w:r>
              <w:rPr>
                <w:rFonts w:ascii="Consolas" w:hAnsi="Consolas"/>
                <w:sz w:val="17"/>
              </w:rPr>
              <w:t>fr</w:t>
            </w:r>
          </w:p>
        </w:tc>
      </w:tr>
    </w:tbl>
    <w:p>
      <w:r>
        <w:t xml:space="preserve">Aucun tag Git n'est publié : la version de référence est identifiée par le commit. Voir </w:t>
      </w:r>
      <w:r>
        <w:rPr>
          <w:rFonts w:ascii="Consolas" w:hAnsi="Consolas"/>
          <w:sz w:val="17"/>
        </w:rPr>
        <w:t>DOSSIER_PROPOSITION_GIS_CENTRE.md</w:t>
      </w:r>
      <w:r>
        <w:t xml:space="preserve"> § 3 pour la traçabilité complète.</w:t>
      </w:r>
    </w:p>
    <w:p>
      <w:pPr>
        <w:pStyle w:val="Heading2"/>
      </w:pPr>
      <w:r>
        <w:t>Fonctions</w:t>
      </w:r>
    </w:p>
    <w:p>
      <w:pPr>
        <w:pStyle w:val="ListBullet"/>
      </w:pPr>
      <w:r>
        <w:t>Plusieurs sources line-list dans un même widget, avec champ date, mesure, statistique et période configurables séparément pour chaque source, plus une timeline liée lorsque les clés de période correspondent.</w:t>
      </w:r>
    </w:p>
    <w:p>
      <w:pPr>
        <w:pStyle w:val="ListBullet"/>
      </w:pPr>
      <w:r>
        <w:t xml:space="preserve">Champ temporel sélectionnable parmi les champs </w:t>
      </w:r>
      <w:r>
        <w:rPr>
          <w:b/>
        </w:rPr>
        <w:t>Date natifs</w:t>
      </w:r>
      <w:r>
        <w:t xml:space="preserve"> et, sur demande, parmi les </w:t>
      </w:r>
      <w:r>
        <w:rPr>
          <w:b/>
        </w:rPr>
        <w:t>champs texte semaine</w:t>
      </w:r>
      <w:r>
        <w:t xml:space="preserve"> (</w:t>
      </w:r>
      <w:r>
        <w:rPr>
          <w:rFonts w:ascii="Consolas" w:hAnsi="Consolas"/>
          <w:sz w:val="17"/>
        </w:rPr>
        <w:t>2025-W04</w:t>
      </w:r>
      <w:r>
        <w:t xml:space="preserve">, </w:t>
      </w:r>
      <w:r>
        <w:rPr>
          <w:rFonts w:ascii="Consolas" w:hAnsi="Consolas"/>
          <w:sz w:val="17"/>
        </w:rPr>
        <w:t>Week 03-2025</w:t>
      </w:r>
      <w:r>
        <w:t xml:space="preserve">, </w:t>
      </w:r>
      <w:r>
        <w:rPr>
          <w:rFonts w:ascii="Consolas" w:hAnsi="Consolas"/>
          <w:sz w:val="17"/>
        </w:rPr>
        <w:t>S01_2026</w:t>
      </w:r>
      <w:r>
        <w:t xml:space="preserve">, </w:t>
      </w:r>
      <w:r>
        <w:rPr>
          <w:rFonts w:ascii="Consolas" w:hAnsi="Consolas"/>
          <w:sz w:val="17"/>
        </w:rPr>
        <w:t>W01-2026</w:t>
      </w:r>
      <w:r>
        <w:t>), normalisés en semaine ISO.</w:t>
      </w:r>
    </w:p>
    <w:p>
      <w:pPr>
        <w:pStyle w:val="ListBullet"/>
      </w:pPr>
      <w:r>
        <w:t xml:space="preserve">Lecture des dates ISO, timestamps ArcGIS, dates Excel, </w:t>
      </w:r>
      <w:r>
        <w:rPr>
          <w:rFonts w:ascii="Consolas" w:hAnsi="Consolas"/>
          <w:sz w:val="17"/>
        </w:rPr>
        <w:t>DD/MM/YYYY</w:t>
      </w:r>
      <w:r>
        <w:t xml:space="preserve">, </w:t>
      </w:r>
      <w:r>
        <w:rPr>
          <w:rFonts w:ascii="Consolas" w:hAnsi="Consolas"/>
          <w:sz w:val="17"/>
        </w:rPr>
        <w:t>MM/DD/YYYY</w:t>
      </w:r>
      <w:r>
        <w:t xml:space="preserve">, </w:t>
      </w:r>
      <w:r>
        <w:rPr>
          <w:rFonts w:ascii="Consolas" w:hAnsi="Consolas"/>
          <w:sz w:val="17"/>
        </w:rPr>
        <w:t>YYYY-MM-DD</w:t>
      </w:r>
      <w:r>
        <w:t xml:space="preserve"> et formats texte JavaScript.</w:t>
      </w:r>
    </w:p>
    <w:p>
      <w:pPr>
        <w:pStyle w:val="ListBullet"/>
      </w:pPr>
      <w:r>
        <w:t>Agrégation par semaine épidémiologique ISO (S1–S53), mois, trimestre et année.</w:t>
      </w:r>
    </w:p>
    <w:p>
      <w:pPr>
        <w:pStyle w:val="ListBullet"/>
      </w:pPr>
      <w:r>
        <w:t>Statistiques par période : comptage, somme, moyenne, médiane, minimum, maximum, première/dernière valeur et valeurs distinctes sur un champ numérique, numérique ou date, ou texte.</w:t>
      </w:r>
    </w:p>
    <w:p>
      <w:pPr>
        <w:pStyle w:val="ListBullet"/>
      </w:pPr>
      <w:r>
        <w:t>Deux bases de semaine : semaine calendaire ISO ou semaine relative au début de l'épidémie (</w:t>
      </w:r>
      <w:r>
        <w:rPr>
          <w:rFonts w:ascii="Consolas" w:hAnsi="Consolas"/>
          <w:sz w:val="17"/>
        </w:rPr>
        <w:t>EPI W1</w:t>
      </w:r>
      <w:r>
        <w:t xml:space="preserve">, </w:t>
      </w:r>
      <w:r>
        <w:rPr>
          <w:rFonts w:ascii="Consolas" w:hAnsi="Consolas"/>
          <w:sz w:val="17"/>
        </w:rPr>
        <w:t>EPI W2</w:t>
      </w:r>
      <w:r>
        <w:t>, …).</w:t>
      </w:r>
    </w:p>
    <w:p>
      <w:pPr>
        <w:pStyle w:val="ListBullet"/>
      </w:pPr>
      <w:r>
        <w:t>Comptage par période, signalement des dates illisibles et filtre de la source par période.</w:t>
      </w:r>
    </w:p>
    <w:p>
      <w:pPr>
        <w:pStyle w:val="ListBullet"/>
      </w:pPr>
      <w:r>
        <w:t>Timeline liée (Play/Stop, pas à pas, vitesse, total cumulé) qui avance automatiquement et applique le filtre aux widgets connectés ; chaque source conserve en plus sa propre timeline pour rester pilotable individuellement.</w:t>
      </w:r>
    </w:p>
    <w:p>
      <w:pPr>
        <w:pStyle w:val="ListBullet"/>
      </w:pPr>
      <w:r>
        <w:t>Liste de périodes repliable (</w:t>
      </w:r>
      <w:r>
        <w:rPr>
          <w:b/>
        </w:rPr>
        <w:t>Afficher les périodes / Masquer les périodes</w:t>
      </w:r>
      <w:r>
        <w:t>) et valeur affichée sur chaque période, en brut ou en cumulé.</w:t>
      </w:r>
    </w:p>
    <w:p>
      <w:pPr>
        <w:pStyle w:val="ListBullet"/>
      </w:pPr>
      <w:r>
        <w:t>Interface bilingue français/anglais.</w:t>
      </w:r>
    </w:p>
    <w:p>
      <w:pPr>
        <w:pStyle w:val="ListBullet"/>
      </w:pPr>
      <w:r>
        <w:t>Convention configurable pour les dates ambiguës (</w:t>
      </w:r>
      <w:r>
        <w:rPr>
          <w:rFonts w:ascii="Consolas" w:hAnsi="Consolas"/>
          <w:sz w:val="17"/>
        </w:rPr>
        <w:t>jour/mois</w:t>
      </w:r>
      <w:r>
        <w:t xml:space="preserve">, </w:t>
      </w:r>
      <w:r>
        <w:rPr>
          <w:rFonts w:ascii="Consolas" w:hAnsi="Consolas"/>
          <w:sz w:val="17"/>
        </w:rPr>
        <w:t>mois/jour</w:t>
      </w:r>
      <w:r>
        <w:t>, automatique).</w:t>
      </w:r>
    </w:p>
    <w:p>
      <w:pPr>
        <w:pStyle w:val="ListBullet"/>
      </w:pPr>
      <w:r>
        <w:t>Synthèse de qualité et de surveillance : cas valides, dates ignorées, pic et nombre de périodes, plus agrégats zone × période lorsqu'un champ de regroupement est configuré.</w:t>
      </w:r>
    </w:p>
    <w:p>
      <w:pPr>
        <w:pStyle w:val="ListBullet"/>
      </w:pPr>
      <w:r>
        <w:t>Mode cumulatif pour suivre la charge totale, bouton de réinitialisation du filtre, vitesse de timeline réglable.</w:t>
      </w:r>
    </w:p>
    <w:p>
      <w:pPr>
        <w:pStyle w:val="ListBullet"/>
      </w:pPr>
      <w:r>
        <w:t>Période active, pic avec son label et total d'enregistrements affichés pour chaque source.</w:t>
      </w:r>
    </w:p>
    <w:p>
      <w:pPr>
        <w:pStyle w:val="ListBullet"/>
      </w:pPr>
      <w:r>
        <w:t>Comparaison inter-annuelle alignée (delta et %) et export CSV (global ou par zone).</w:t>
      </w:r>
    </w:p>
    <w:p>
      <w:pPr>
        <w:pStyle w:val="ListBullet"/>
      </w:pPr>
      <w:r>
        <w:t>Regroupement par champ administratif et couche virtuelle temporaire jointe aux géométries d'une couche frontière, sans modification des données sources.</w:t>
      </w:r>
    </w:p>
    <w:p>
      <w:pPr>
        <w:pStyle w:val="ListBullet"/>
      </w:pPr>
      <w:r>
        <w:t xml:space="preserve">Manuel utilisateur complet dans </w:t>
      </w:r>
      <w:r>
        <w:rPr>
          <w:rFonts w:ascii="Consolas" w:hAnsi="Consolas"/>
          <w:sz w:val="17"/>
        </w:rPr>
        <w:t>MANUEL_UTILISATION.md</w:t>
      </w:r>
      <w:r>
        <w:t xml:space="preserve">, protocole de test dans </w:t>
      </w:r>
      <w:r>
        <w:rPr>
          <w:rFonts w:ascii="Consolas" w:hAnsi="Consolas"/>
          <w:sz w:val="17"/>
        </w:rPr>
        <w:t>GUIDE_TRANSFERT_TEST_GIS_CENTRE.md</w:t>
      </w:r>
      <w:r>
        <w:t xml:space="preserve">, dossier de décision dans </w:t>
      </w:r>
      <w:r>
        <w:rPr>
          <w:rFonts w:ascii="Consolas" w:hAnsi="Consolas"/>
          <w:sz w:val="17"/>
        </w:rPr>
        <w:t>DOSSIER_PROPOSITION_GIS_CENTRE.md</w:t>
      </w:r>
      <w:r>
        <w:t>.</w:t>
      </w:r>
    </w:p>
    <w:p>
      <w:pPr>
        <w:pStyle w:val="Heading2"/>
      </w:pPr>
      <w:r>
        <w:t>Installation</w:t>
      </w:r>
    </w:p>
    <w:p>
      <w:r>
        <w:t xml:space="preserve">1. Copier </w:t>
      </w:r>
      <w:r>
        <w:rPr>
          <w:rFonts w:ascii="Consolas" w:hAnsi="Consolas"/>
          <w:sz w:val="17"/>
        </w:rPr>
        <w:t>widgets/epi-aggregator</w:t>
      </w:r>
      <w:r>
        <w:t xml:space="preserve"> dans le dossier </w:t>
      </w:r>
      <w:r>
        <w:rPr>
          <w:rFonts w:ascii="Consolas" w:hAnsi="Consolas"/>
          <w:sz w:val="17"/>
        </w:rPr>
        <w:t>client/your-extensions/widgets</w:t>
      </w:r>
      <w:r>
        <w:t xml:space="preserve"> du dépôt Experience Builder Developer Edition (ou dans le répertoire d'extensions prévu par votre organisation).</w:t>
      </w:r>
    </w:p>
    <w:p>
      <w:r>
        <w:t xml:space="preserve">2. Lancer </w:t>
      </w:r>
      <w:r>
        <w:rPr>
          <w:rFonts w:ascii="Consolas" w:hAnsi="Consolas"/>
          <w:sz w:val="17"/>
        </w:rPr>
        <w:t>npm ci</w:t>
      </w:r>
      <w:r>
        <w:t xml:space="preserve"> puis </w:t>
      </w:r>
      <w:r>
        <w:rPr>
          <w:rFonts w:ascii="Consolas" w:hAnsi="Consolas"/>
          <w:sz w:val="17"/>
        </w:rPr>
        <w:t>npm start</w:t>
      </w:r>
      <w:r>
        <w:t xml:space="preserve"> dans Experience Builder. Pour une version déployée, utiliser le processus officiel </w:t>
      </w:r>
      <w:r>
        <w:rPr>
          <w:rFonts w:ascii="Consolas" w:hAnsi="Consolas"/>
          <w:sz w:val="17"/>
        </w:rPr>
        <w:t>npm run build</w:t>
      </w:r>
      <w:r>
        <w:t xml:space="preserve"> de votre version d'Experience Builder.</w:t>
      </w:r>
    </w:p>
    <w:p>
      <w:r>
        <w:t xml:space="preserve">3. Ajouter </w:t>
      </w:r>
      <w:r>
        <w:rPr>
          <w:b/>
        </w:rPr>
        <w:t>Epi Aggregator</w:t>
      </w:r>
      <w:r>
        <w:t xml:space="preserve"> à l'expérience, choisir la couche/table de line-list dans les paramètres et renseigner le champ temporel (ex. </w:t>
      </w:r>
      <w:r>
        <w:rPr>
          <w:rFonts w:ascii="Consolas" w:hAnsi="Consolas"/>
          <w:sz w:val="17"/>
        </w:rPr>
        <w:t>onset_date</w:t>
      </w:r>
      <w:r>
        <w:t>).</w:t>
      </w:r>
    </w:p>
    <w:p>
      <w:r>
        <w:t xml:space="preserve">4. Connecter les cartes, graphiques, listes, tables et indicateurs à la même source de données. La sélection d'une période met à jour la requête de la source avec une fenêtre </w:t>
      </w:r>
      <w:r>
        <w:rPr>
          <w:rFonts w:ascii="Consolas" w:hAnsi="Consolas"/>
          <w:sz w:val="17"/>
        </w:rPr>
        <w:t>[début, fin)</w:t>
      </w:r>
      <w:r>
        <w:t>.</w:t>
      </w:r>
    </w:p>
    <w:p>
      <w:r>
        <w:t xml:space="preserve">Sous Windows, </w:t>
      </w:r>
      <w:r>
        <w:rPr>
          <w:rFonts w:ascii="Consolas" w:hAnsi="Consolas"/>
          <w:sz w:val="17"/>
        </w:rPr>
        <w:t>tools/Start-ExperienceBuilder.ps1</w:t>
      </w:r>
      <w:r>
        <w:t xml:space="preserve"> automatise l'activation de Node 20, l'installation des dépendances, la copie du widget et le démarrage du serveur et du client (voir </w:t>
      </w:r>
      <w:r>
        <w:rPr>
          <w:rFonts w:ascii="Consolas" w:hAnsi="Consolas"/>
          <w:sz w:val="17"/>
        </w:rPr>
        <w:t>tools/README.md</w:t>
      </w:r>
      <w:r>
        <w:t>).</w:t>
      </w:r>
    </w:p>
    <w:p>
      <w:pPr>
        <w:ind w:left="340"/>
      </w:pPr>
      <w:r>
        <w:rPr>
          <w:color w:val="1D4F6E"/>
        </w:rPr>
        <w:t xml:space="preserve">Le widget est livré sans </w:t>
      </w:r>
      <w:r>
        <w:rPr>
          <w:rFonts w:ascii="Consolas" w:hAnsi="Consolas"/>
          <w:color w:val="1D4F6E"/>
          <w:sz w:val="17"/>
        </w:rPr>
        <w:t>node_modules</w:t>
      </w:r>
      <w:r>
        <w:rPr>
          <w:color w:val="1D4F6E"/>
        </w:rPr>
        <w:t xml:space="preserve"> ni lockfile : les dépendances sont celles de l'instance Experience Builder qui l'héberge (</w:t>
      </w:r>
      <w:r>
        <w:rPr>
          <w:rFonts w:ascii="Consolas" w:hAnsi="Consolas"/>
          <w:color w:val="1D4F6E"/>
          <w:sz w:val="17"/>
        </w:rPr>
        <w:t>jimu-core</w:t>
      </w:r>
      <w:r>
        <w:rPr>
          <w:color w:val="1D4F6E"/>
        </w:rPr>
        <w:t xml:space="preserve">, </w:t>
      </w:r>
      <w:r>
        <w:rPr>
          <w:rFonts w:ascii="Consolas" w:hAnsi="Consolas"/>
          <w:color w:val="1D4F6E"/>
          <w:sz w:val="17"/>
        </w:rPr>
        <w:t>jimu-ui</w:t>
      </w:r>
      <w:r>
        <w:rPr>
          <w:color w:val="1D4F6E"/>
        </w:rPr>
        <w:t xml:space="preserve">, </w:t>
      </w:r>
      <w:r>
        <w:rPr>
          <w:rFonts w:ascii="Consolas" w:hAnsi="Consolas"/>
          <w:color w:val="1D4F6E"/>
          <w:sz w:val="17"/>
        </w:rPr>
        <w:t>jimu-arcgis</w:t>
      </w:r>
      <w:r>
        <w:rPr>
          <w:color w:val="1D4F6E"/>
        </w:rPr>
        <w:t>). Aucune dépendance externe n'est ajoutée.</w:t>
      </w:r>
    </w:p>
    <w:p>
      <w:pPr>
        <w:pStyle w:val="Heading2"/>
      </w:pPr>
      <w:r>
        <w:t>Notes GIS / données</w:t>
      </w:r>
    </w:p>
    <w:p>
      <w:pPr>
        <w:pStyle w:val="ListBullet"/>
      </w:pPr>
      <w:r>
        <w:t xml:space="preserve">Pour de meilleures performances sur une grosse line-list, publier le champ date comme vrai champ </w:t>
      </w:r>
      <w:r>
        <w:rPr>
          <w:rFonts w:ascii="Consolas" w:hAnsi="Consolas"/>
          <w:sz w:val="17"/>
        </w:rPr>
        <w:t>esriFieldTypeDate</w:t>
      </w:r>
      <w:r>
        <w:t>. Les données locales ou les dates dans des formats mélangés peuvent être normalisées dans le widget, mais le filtre serveur final nécessite un champ date interrogeable par ArcGIS.</w:t>
      </w:r>
    </w:p>
    <w:p>
      <w:pPr>
        <w:pStyle w:val="ListBullet"/>
      </w:pPr>
      <w:r>
        <w:rPr>
          <w:b/>
        </w:rPr>
        <w:t>Champ texte semaine.</w:t>
      </w:r>
      <w:r>
        <w:t xml:space="preserve"> Un champ texte contenant des libellés de semaine peut être utilisé comme champ temporel : l'agrégation, la timeline, les indicateurs et l'export CSV fonctionnent. En revanche, un filtre serveur </w:t>
      </w:r>
      <w:r>
        <w:rPr>
          <w:rFonts w:ascii="Consolas" w:hAnsi="Consolas"/>
          <w:sz w:val="17"/>
        </w:rPr>
        <w:t>DATE '…'</w:t>
      </w:r>
      <w:r>
        <w:t xml:space="preserve"> est impossible sur un champ texte : le widget désactive alors le filtrage de la source, de la carte et des composants connectés, et affiche un avertissement explicite. Pour filtrer la carte, utiliser un champ </w:t>
      </w:r>
      <w:r>
        <w:rPr>
          <w:rFonts w:ascii="Consolas" w:hAnsi="Consolas"/>
          <w:sz w:val="17"/>
        </w:rPr>
        <w:t>esriFieldTypeDate</w:t>
      </w:r>
      <w:r>
        <w:t>.</w:t>
      </w:r>
    </w:p>
    <w:p>
      <w:pPr>
        <w:pStyle w:val="ListBullet"/>
      </w:pPr>
      <w:r>
        <w:t>Les dates ambiguës où les deux premiers nombres sont inférieurs ou égaux à 12 sont interprétées en convention jour/mois, convention par défaut des équipes terrain. Utiliser ISO pour éliminer toute ambiguïté.</w:t>
      </w:r>
    </w:p>
    <w:p>
      <w:pPr>
        <w:pStyle w:val="ListBullet"/>
      </w:pPr>
      <w:r>
        <w:t xml:space="preserve">Une semaine ISO peut être </w:t>
      </w:r>
      <w:r>
        <w:rPr>
          <w:rFonts w:ascii="Consolas" w:hAnsi="Consolas"/>
          <w:sz w:val="17"/>
        </w:rPr>
        <w:t>S53</w:t>
      </w:r>
      <w:r>
        <w:t xml:space="preserve"> certaines années ; le widget ne force pas artificiellement 52 semaines.</w:t>
      </w:r>
    </w:p>
    <w:p>
      <w:pPr>
        <w:pStyle w:val="ListBullet"/>
      </w:pPr>
      <w:r>
        <w:t xml:space="preserve">La période active est appliquée via </w:t>
      </w:r>
      <w:r>
        <w:rPr>
          <w:rFonts w:ascii="Consolas" w:hAnsi="Consolas"/>
          <w:sz w:val="17"/>
        </w:rPr>
        <w:t>updateQueryParams</w:t>
      </w:r>
      <w:r>
        <w:t xml:space="preserve"> avec l'identifiant du widget, et via </w:t>
      </w:r>
      <w:r>
        <w:rPr>
          <w:rFonts w:ascii="Consolas" w:hAnsi="Consolas"/>
          <w:sz w:val="17"/>
        </w:rPr>
        <w:t>definitionExpression</w:t>
      </w:r>
      <w:r>
        <w:t xml:space="preserve"> sur la couche cartographique liée. Si l'expérience utilise des vues de données séparées, relier les widgets à la même source ou configurer une action de message/filtre de données dans Experience Builder.</w:t>
      </w:r>
    </w:p>
    <w:p>
      <w:pPr>
        <w:pStyle w:val="ListBullet"/>
      </w:pPr>
      <w:r>
        <w:t>Le widget ne modifie jamais les données sources. La couche virtuelle du regroupement par zone est temporaire et côté client uniquement.</w:t>
      </w:r>
    </w:p>
    <w:p>
      <w:pPr>
        <w:pStyle w:val="Heading2"/>
      </w:pPr>
      <w:r>
        <w:t>Vérification avant livraison</w:t>
      </w:r>
    </w:p>
    <w:p>
      <w:r>
        <w:t xml:space="preserve">Chaque modification livrée est vérifiée par compilation statique (bundling TSX/TS et </w:t>
      </w:r>
      <w:r>
        <w:rPr>
          <w:rFonts w:ascii="Consolas" w:hAnsi="Consolas"/>
          <w:sz w:val="17"/>
        </w:rPr>
        <w:t>tsc --strict</w:t>
      </w:r>
      <w:r>
        <w:t xml:space="preserve">, dépendances </w:t>
      </w:r>
      <w:r>
        <w:rPr>
          <w:rFonts w:ascii="Consolas" w:hAnsi="Consolas"/>
          <w:sz w:val="17"/>
        </w:rPr>
        <w:t>jimu-*</w:t>
      </w:r>
      <w:r>
        <w:t xml:space="preserve"> remplacées par des stubs de types) : aucune erreur de typage ni de compilation, aucune variable ou import inutilisé. La validation du comportement dans Experience Builder reste manuelle et est décrite dans le protocole de test.</w:t>
      </w:r>
    </w:p>
    <w:p>
      <w:pPr>
        <w:pStyle w:val="Heading2"/>
      </w:pPr>
      <w:r>
        <w:t>Versions imprimables</w:t>
      </w:r>
    </w:p>
    <w:p>
      <w:r>
        <w:t xml:space="preserve">Les versions PDF, HTML et DOCX de cette description, du manuel, du guide de transfert et du dossier de proposition sont générées dans </w:t>
      </w:r>
      <w:r>
        <w:rPr>
          <w:rFonts w:ascii="Consolas" w:hAnsi="Consolas"/>
          <w:sz w:val="17"/>
        </w:rPr>
        <w:t>deliverables/</w:t>
      </w:r>
      <w:r>
        <w:t xml:space="preserve"> (voir </w:t>
      </w:r>
      <w:r>
        <w:rPr>
          <w:rFonts w:ascii="Consolas" w:hAnsi="Consolas"/>
          <w:sz w:val="17"/>
        </w:rPr>
        <w:t>deliverables/README.md</w:t>
      </w:r>
      <w:r>
        <w:t xml:space="preserve"> pour le mode de régénération).</w:t>
      </w:r>
    </w:p>
    <w:p>
      <w:r>
        <w:rPr>
          <w:rFonts w:ascii="Consolas" w:hAnsi="Consolas"/>
          <w:sz w:val="17"/>
        </w:rPr>
        <w:t>deliverables/DESCRIPTION_OUTIL_EPI_AGGREGATOR.pdf</w:t>
        <w:br/>
        <w:t>deliverables/DESCRIPTION_OUTIL_EPI_AGGREGATOR.docx</w:t>
      </w:r>
    </w:p>
    <w:p>
      <w:pPr>
        <w:pStyle w:val="Heading2"/>
      </w:pPr>
      <w:r>
        <w:t>Structure</w:t>
      </w:r>
    </w:p>
    <w:p>
      <w:pPr>
        <w:pStyle w:val="ListBullet"/>
      </w:pPr>
      <w:r>
        <w:rPr>
          <w:rFonts w:ascii="Consolas" w:hAnsi="Consolas"/>
          <w:sz w:val="17"/>
        </w:rPr>
        <w:t>src/runtime/aggregation.ts</w:t>
      </w:r>
      <w:r>
        <w:t xml:space="preserve"> : parsing et moteur d'agrégation indépendant d'ExB, facilement testable.</w:t>
      </w:r>
    </w:p>
    <w:p>
      <w:pPr>
        <w:pStyle w:val="ListBullet"/>
      </w:pPr>
      <w:r>
        <w:rPr>
          <w:rFonts w:ascii="Consolas" w:hAnsi="Consolas"/>
          <w:sz w:val="17"/>
        </w:rPr>
        <w:t>src/runtime/comparison.ts</w:t>
      </w:r>
      <w:r>
        <w:t xml:space="preserve"> : alignement des périodes entre années.</w:t>
      </w:r>
    </w:p>
    <w:p>
      <w:pPr>
        <w:pStyle w:val="ListBullet"/>
      </w:pPr>
      <w:r>
        <w:rPr>
          <w:rFonts w:ascii="Consolas" w:hAnsi="Consolas"/>
          <w:sz w:val="17"/>
        </w:rPr>
        <w:t>src/runtime/spatialAggregation.ts</w:t>
      </w:r>
      <w:r>
        <w:t xml:space="preserve"> : agrégats période × zone.</w:t>
      </w:r>
    </w:p>
    <w:p>
      <w:pPr>
        <w:pStyle w:val="ListBullet"/>
      </w:pPr>
      <w:r>
        <w:rPr>
          <w:rFonts w:ascii="Consolas" w:hAnsi="Consolas"/>
          <w:sz w:val="17"/>
        </w:rPr>
        <w:t>src/runtime/virtualLayer.ts</w:t>
      </w:r>
      <w:r>
        <w:t xml:space="preserve"> : jointure des agrégats avec les géométries d'une couche frontière.</w:t>
      </w:r>
    </w:p>
    <w:p>
      <w:pPr>
        <w:pStyle w:val="ListBullet"/>
      </w:pPr>
      <w:r>
        <w:rPr>
          <w:rFonts w:ascii="Consolas" w:hAnsi="Consolas"/>
          <w:sz w:val="17"/>
        </w:rPr>
        <w:t>src/runtime/widget.tsx</w:t>
      </w:r>
      <w:r>
        <w:t xml:space="preserve"> : interface, requête de la line-list, filtre, timlines et carte.</w:t>
      </w:r>
    </w:p>
    <w:p>
      <w:pPr>
        <w:pStyle w:val="ListBullet"/>
      </w:pPr>
      <w:r>
        <w:rPr>
          <w:rFonts w:ascii="Consolas" w:hAnsi="Consolas"/>
          <w:sz w:val="17"/>
        </w:rPr>
        <w:t>src/setting/setting.tsx</w:t>
      </w:r>
      <w:r>
        <w:t xml:space="preserve"> : sélection de source et configuration.</w:t>
      </w:r>
    </w:p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